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4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sz w:val="44"/>
          <w:szCs w:val="44"/>
          <w:lang w:val="en-US" w:eastAsia="zh-CN"/>
        </w:rPr>
        <w:t>2025年法治政府建设情况报告</w:t>
      </w:r>
    </w:p>
    <w:p w14:paraId="3E394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2FE7B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025年，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小南沟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坚持以习近平新时代中国特色社会主义思想为指导，深入学习贯彻党的二十大精神和习近平法治思想，全面贯彻落实党中央、国务院关于建设法治政府的决策部署，在县委、县政府的坚强领导下，紧紧围绕全乡中心工作，以提升治理体系和治理能力现代化水平为目标，全面履行政府职能，法治政府建设取得积极成效。现将有关情况报告如下：</w:t>
      </w:r>
    </w:p>
    <w:p w14:paraId="65DC6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一、上一年度法治政府建设的主要举措和成效</w:t>
      </w:r>
    </w:p>
    <w:p w14:paraId="14F71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（一）深入学习贯彻习近平法治思想，加强党对法治政府建设的领导，党政主要负责人履行推进法治建设第一责任人职责情况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小南沟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乡始终将习近平法治思想作为法治政府建设的根本遵循和行动指南。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一是深化理论武装。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习近平法治思想纳入党委理论学习中心组学习重点内容，全年组织专题学习4次，撰写心得体会，引导党员干部深刻领会核心要义。乡党政主要负责人切实履行推进法治建设第一责任人职责，主持召开依法治乡工作领导小组会议2次、专题会议3次，研究解决法治建设重大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项，并将述法工作纳入年度考核，有效压实了法治建设责任。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二是健全领导机制。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及时调整充实依法治乡工作领导小组，制定《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小南沟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乡2025年法治建设工作要点》，明确了法治政府建设的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“路线图”和“任务书”，确保法治建设与经济社会发展同部署、同推进、同考核。</w:t>
      </w:r>
    </w:p>
    <w:p w14:paraId="1479E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（二）推进政府机构职能优化、推进“放管服”改革、优化法治化营商环境等情况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我乡持续深化“放管服”改革，着力优化法治化营商环境。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一是提升政务服务水平。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推动乡便民服务中心标准化建设，梳理并公开“最多跑一次”事项清单62项，政务服务事项网办率达到100%。全面推行证明事项告知承诺制，累计减少各类证明材料20余种。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二是激发市场主体活力。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牵头开展“法治护航营商环境”专项行动，走访企业商户20余家，协调解决涉法问题6个。2025年，全乡新增市场主体同比增长8%，法治化营商环境持续向好。</w:t>
      </w:r>
    </w:p>
    <w:p w14:paraId="31E8B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（三）健全完善依法行政、行政决策制度情况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坚持把依法行政贯穿于政府工作全过程。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一是严格依法决策。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带头执行《重大行政决策程序暂行条例》，对重大项目、重要规划、重大民生政策等决策事项，严格履行公众参与、专家论证、风险评估、合法性审查和集体讨论决定等法定程序，确保决策科学、民主、合法。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二是强化合法性审查。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充分发挥法律顾问作用，对乡党委、政府拟出台的规范性文件、签订的重要合同协议100%进行合法性审核，有效防范了法律风险。</w:t>
      </w:r>
    </w:p>
    <w:p w14:paraId="550EA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（四）推进严格规范公正文明执法情况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扎实推进综合行政执法体制改革，提升执法公信力。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一是整合执法力量。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组建乡综合行政执法大队，整合市场监管、生态环境、农业等领域执法职能，实现“一支队伍管执法”。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二是落实“三项制度”。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严格落实行政执法公示、执法全过程记录、重大执法决定法制审核制度。为执法队员配备执法记录仪，建设标准化询问室。年内组织执法人员培训2期，新申领执法证8人，持证执法人员达13名。开展行政执法案卷评查1次，及时督促整改问题，不断提升执法规范化水平。</w:t>
      </w:r>
    </w:p>
    <w:p w14:paraId="52EE5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（五）依法处置突发事件、提供公共法律服务和化解社会矛盾纠纷等情况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坚持和发展新时代“枫桥经验”，全力维护社会和谐稳定。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一是健全矛盾纠纷多元化解体系。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建立“一站式”矛盾纠纷调处中心，整合人民调解、司法调解、行政调解资源。全年各级调解组织成功化解各类矛盾纠纷137起，调解成功率保持100%。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二是深化公共法律服务。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“一村一法律顾问”管理，推行“基本服务+项目服务”模式。法律顾问全年累计提供法律咨询620余人次，参与修订村规民约12份。大力实施“法律明白人”培养工程，累计培养骨干72名，夯实了基层法治基础。</w:t>
      </w:r>
    </w:p>
    <w:p w14:paraId="120F4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（六）规范行政权力制约监督情况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自觉接受各方监督，确保权力在阳光下运行。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一是强化监督合力。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主动接受党内监督、人大监督、民主监督、司法监督，全年办理人大代表意见建议2件，办复率和满意率均达100%。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二是推进政务公开。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坚持以公开为常态、不公开为例外，通过政府网站、公开栏等平台，依法公开财政预决算、重大项目等信息200余条。畅通“12345”热线等监督渠道，全年受理群众诉求52件，按时办结率100%，群众满意度持续提升。</w:t>
      </w:r>
    </w:p>
    <w:p w14:paraId="5439F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（七）强化法治政府建设保障情况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多措并举，为法治政府建设提供坚实保障。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一是加强队伍建设。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将法治教育纳入干部培训必修课，举办专题培训4期，重点提升干部依法决策、依法办事能力。组织全乡公职人员参加在线学法考试，参考率、合格率均达100%。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二是强化普法宣传。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“谁执法谁普法”责任制，围绕民法典、反电信诈骗等主题，开展专题普法活动6场次。拓展新媒体普法阵地，创作乡土法治文艺作品，增强普法实效。在“12·4”国家宪法日等重要节点，组织大型宣传活动，营造了浓厚的法治氛围。</w:t>
      </w:r>
    </w:p>
    <w:p w14:paraId="4F454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二、存在的不足和原因</w:t>
      </w:r>
    </w:p>
    <w:p w14:paraId="65741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在肯定成绩的同时，我乡法治政府建设仍存在一些短板和不足：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一是依法行政能力有待进一步提升。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部分基层干部运用法治思维和法治方式解决问题的能力仍有欠缺，惯性思维依然存在。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二是基层法治力量仍显薄弱。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法律专业人才匮乏，综合执法队伍的专业化水平有待提高，部分村法律顾问作用发挥不够充分。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三是普法宣传的精准性和实效性有待增强。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普法形式有时比较传统，针对不同群体的差异化普法供给不足。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四是法治建设特色亮点不够突出。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在打造具有本地辨识度的法治品牌方面，创新探索不够，典型经验总结提炼不足。</w:t>
      </w:r>
    </w:p>
    <w:p w14:paraId="6132A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三、下一步工作打算</w:t>
      </w:r>
    </w:p>
    <w:p w14:paraId="6888F83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2026年，我乡将坚持以习近平法治思想为指导，聚焦问题短板，持续发力，推动法治政府建设再上新台阶。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（一）在学思践悟习近平法治思想上再深化。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持续将学习贯彻习近平法治思想作为首要政治任务，推动学习向基层延伸，真正用以武装头脑、指导实践。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（二）在提升依法行政水平上再攻坚。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进一步完善重大行政决策程序，强化对行政权力的全过程监督。深化综合行政执法改革，强化执法人员培训和管理，提升执法规范化水平。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（三）在深化基层依法治理上再创新。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推动“一站式”矛盾纠纷调处中心高效运行。深化“法律明白人”培养和作用发挥机制。探索积分制、数字化赋能乡村治理新路径，打造一批“法治乡村”样板。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（四）在增强普法宣传实效上再突破。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大力推进“智慧普法”，运用新媒体提升普法产品供给质量。更加注重以案释法，针对不同群体开展“订单式”普法，提升公民法治素养。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（五）在锻造过硬法治队伍上再加强。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加大对基层法治工作人员的培训、激励和保障力度，积极引进和培育法律专业人才，为法治政府建设提供有力支撑。</w:t>
      </w:r>
    </w:p>
    <w:p w14:paraId="3FC4F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68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0385" cy="276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8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E4AD0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75pt;width:42.55pt;mso-position-horizontal:center;mso-position-horizontal-relative:margin;z-index:251659264;mso-width-relative:page;mso-height-relative:page;" filled="f" stroked="f" coordsize="21600,21600" o:gfxdata="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icKx3UAAAAAwEAAA8AAAAAAAAAAQAgAAAAIgAAAGRycy9kb3ducmV2Lnht&#10;bFBLAQIUABQAAAAIAIdO4kDdw2WP4QIAACQGAAAOAAAAAAAAAAEAIAAAACM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9E4AD0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74DB"/>
    <w:rsid w:val="2DD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2551</Words>
  <Characters>2603</Characters>
  <Lines>0</Lines>
  <Paragraphs>0</Paragraphs>
  <TotalTime>3</TotalTime>
  <ScaleCrop>false</ScaleCrop>
  <LinksUpToDate>false</LinksUpToDate>
  <CharactersWithSpaces>2603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2026-03-31T11:37:00Z</dcterms:created>
  <dc:creator>A</dc:creator>
  <cp:lastModifiedBy>兮</cp:lastModifiedBy>
  <dcterms:modified xsi:type="dcterms:W3CDTF">2026-03-31T12:37:40Z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eyJoZGlkIjoiOGUyZjI1MTMwOTM1MzFhOTY2YjliYTMyYjY0YzlmY2EiLCJ1c2VySWQiOiI0Nzk2MTg1MTYifQ==</vt:lpwstr>
  </property>
  <property fmtid="{D5CDD505-2E9C-101B-9397-08002B2CF9AE}" pid="4" name="ICV">
    <vt:lpwstr>79417934A79748F3A241A8DD20C0B658_12</vt:lpwstr>
  </property>
</Properties>
</file>