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88A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7852B8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1C2C5D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1D09578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环县洪德镇人民政府</w:t>
      </w:r>
    </w:p>
    <w:p w14:paraId="368658E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331BE31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5E68BD7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668C3BC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C96C06B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1198F37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89FCD6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174C09B0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77882A8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05E5406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70C3420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701ABDF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604C47A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2558AD7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276EAFC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2545CFB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63D8546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5B92B161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018BA77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203DE3C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814D8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5185724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5381B8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0851C92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100A2AB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0959FBD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5410DF5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340CA0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4C49A2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494ED66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BAD447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244712F9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EB70DF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1572EC72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B1B445F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77A28D8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3BA0AA5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（一）执行本级人民代表大会的决议和上级国家行政机关的决定和命令，发布决定和命令；</w:t>
      </w:r>
    </w:p>
    <w:p w14:paraId="1A839D2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（二）执行本行政区域内的经济和社会发展计划、预算，管理本行政区域内的经济、教育、科学、文化、卫生、体育事业和财政、民政、公安、司法行政、计划生育等行政工作；</w:t>
      </w:r>
    </w:p>
    <w:p w14:paraId="13FA26C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（三）保护社会主义的全民所有的财产和劳动群众集体所有的财产，保护公民私人所有的合法财产，维护社会秩序，保障公民的人身权利、民主权利和其他权利；</w:t>
      </w:r>
    </w:p>
    <w:p w14:paraId="2EC3263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（四）保护各种经济组织的合法权益；</w:t>
      </w:r>
    </w:p>
    <w:p w14:paraId="212D0F0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（五）保障少数民族的权利和尊重少数民族的风俗习惯；</w:t>
      </w:r>
    </w:p>
    <w:p w14:paraId="4EBDD53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（六）保障宪法和法律赋予妇女的男女平等、同工同酬和婚姻自由等各项权利；</w:t>
      </w:r>
    </w:p>
    <w:p w14:paraId="0DA1248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（七）办理上级人民政府交办的其他事项。</w:t>
      </w:r>
    </w:p>
    <w:p w14:paraId="669F64C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6406E25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BF1CB3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党政综合办公室。主要负责镇党委、人大、政府日常工作；负责纪检监察和党风廉政建设工作；负责机关文电、机要保密、信息、会务、档案、督办、绩效考评、后勤保障等工作；负责行政审批服务事项的组织实施，指导政务服务工作。</w:t>
      </w:r>
    </w:p>
    <w:p w14:paraId="2AE909B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党建工作办公室。主要负责基层党组织建设、宣传、统战、民族宗教等工作；组织协调辖区群团组织开展工作；负责组织人事、机构编制、机关干部队伍建设等工作。</w:t>
      </w:r>
    </w:p>
    <w:p w14:paraId="37C0F08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经济发展和社会事务办公室（加挂卫生健康办公室牌子）。主要负责镇经济和社会发展规划的拟定和组织实施；负责指导农业产业发展、精准扶贫、乡村振兴等农业农村工作；负责社会保障、民政、退役军人事务、人民武装、水利水保、医疗保障、教育、科技、文体广电旅游、卫生健康、统计等工作。</w:t>
      </w:r>
    </w:p>
    <w:p w14:paraId="6D4A99F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社会治理和应急管理办公室。主要负责社会治安综合治理、应急管理、安全生产、道路交通安全、信访和矛盾纠纷排查、市场监管等工作，维护辖区社会稳定；指导辖区网格化综合管理工作。</w:t>
      </w:r>
    </w:p>
    <w:p w14:paraId="1C35E7C5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生态环境办公室。主要负责生态环境保护、环境整治、乡村规划、重点工程项目建设、城镇管理等工作；负责协调处理自然资源相关工作。</w:t>
      </w:r>
    </w:p>
    <w:p w14:paraId="450C92A4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（二）直属事业单位</w:t>
      </w:r>
    </w:p>
    <w:p w14:paraId="2A1C786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农业农村综合服务中心（加挂农产品质量检测服务中心、农村公路管理所牌子）。承担农业、畜牧、农机等技术推广工作；承担动物疫情防控、农作物病虫害监测与防治、农产品质量安全监测等服务性、技术性工作；承担指导规范农民专业合作社、农村集体经济组织发展、村级财务公开等工作；承担农业保险、宅基地管理、土地流转、农村土地承包经营管理等工作；承担辖区内农村公路的养护、建设等工作。</w:t>
      </w:r>
    </w:p>
    <w:p w14:paraId="7DFCCA8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公共事务服务中心（加挂退役军人服务站牌子、综合文化站牌子）。承担社会救助、公共卫生、环境整治、就业指导、社会保障、合作医疗、危旧房改造等事务性工作；承担退役军人优抚帮扶、走访慰问、信访接待、权益保障等服务性工作；承担乡村各类惠农资金核算核拨工作。</w:t>
      </w:r>
    </w:p>
    <w:p w14:paraId="59EE9D9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政务（便民）服务中心。承担涉及经济发展、公共管理以及与群众密切相关的政务服务、公共服务、便民服务事项的集中受理和办理工作，提供相关帮（代）办服务；承担服务窗口人员的服务评价和绩效考核工作；承担政务公开的事务性工作。</w:t>
      </w:r>
    </w:p>
    <w:p w14:paraId="3359AE3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.社会治安综合治理中心。承担辖区内群众矛盾纠纷排查、受理、调解工作；承担辖区内社会治安状况的实时监控、信息报送、分析研判等工作；承担组织开展平安村社、平安家庭、平安单位、平安市；场等基层平安细胞的创建活动；协助做好安全生产综合监管和打非治违、扫黑除恶、禁毒、反邪教等工作。</w:t>
      </w:r>
    </w:p>
    <w:p w14:paraId="61CBA45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.综合行政执法队。按照有关法律规定相对集中行使行政处罚权，承接上级行政机关依法下放、授权、委托的行政执法权限，自主开展执法工作，并接受上级主管部门的业务指导和监督；加强执法队伍建设，统筹管理所属执法人员和上级部门派出的执法人员。</w:t>
      </w:r>
    </w:p>
    <w:p w14:paraId="304E1E4C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54F114DA">
      <w:pPr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2086.02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万元。按照综合预算的原则，部门（单位）所有收入和支出均纳入部门预算管理。收入包括：一般公共服务支出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1459.41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262.29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85.72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农林水支出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153.24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125.36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</w:t>
      </w:r>
    </w:p>
    <w:p w14:paraId="48EC612B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84E4BB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2086.02万元</w:t>
      </w:r>
      <w:r>
        <w:rPr>
          <w:rFonts w:hint="eastAsia" w:ascii="仿宋_GB2312" w:hAnsi="仿宋" w:eastAsia="仿宋_GB2312"/>
          <w:sz w:val="32"/>
          <w:szCs w:val="32"/>
        </w:rPr>
        <w:t>（详见部门/单位预算公开表1,2）。包括：</w:t>
      </w:r>
    </w:p>
    <w:p w14:paraId="5E6E607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2065.02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98.99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077E37D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.00万元，占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E47AC7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1.01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8098A5E">
      <w:pPr>
        <w:widowControl/>
        <w:spacing w:line="560" w:lineRule="exact"/>
        <w:ind w:firstLine="630" w:firstLineChars="300"/>
        <w:jc w:val="left"/>
        <w:rPr>
          <w:rFonts w:ascii="仿宋_GB2312" w:hAnsi="仿宋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530225</wp:posOffset>
            </wp:positionV>
            <wp:extent cx="4826000" cy="2743200"/>
            <wp:effectExtent l="4445" t="4445" r="8255" b="14605"/>
            <wp:wrapTopAndBottom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11E82A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28DFA04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2086.02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>1932.78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92.65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项目支出132.24万元，占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6.34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eastAsia="zh-CN"/>
        </w:rPr>
        <w:t>；上年结转支出</w:t>
      </w:r>
      <w:r>
        <w:rPr>
          <w:rStyle w:val="21"/>
          <w:rFonts w:hint="eastAsia" w:ascii="仿宋_GB2312" w:hAnsi="仿宋" w:eastAsia="仿宋_GB2312"/>
          <w:lang w:val="en-US" w:eastAsia="zh-CN"/>
        </w:rPr>
        <w:t>21.00万元，占1.01%</w:t>
      </w:r>
      <w:r>
        <w:rPr>
          <w:rStyle w:val="20"/>
          <w:rFonts w:hint="default" w:hAnsi="仿宋"/>
        </w:rPr>
        <w:t>。</w:t>
      </w:r>
    </w:p>
    <w:p w14:paraId="4D074A8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784D12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1"/>
          <w:rFonts w:hint="eastAsia" w:ascii="仿宋_GB2312" w:hAnsi="仿宋" w:eastAsia="仿宋_GB2312"/>
          <w:lang w:eastAsia="zh-CN"/>
        </w:rPr>
        <w:t>2026年</w:t>
      </w:r>
      <w:r>
        <w:rPr>
          <w:rStyle w:val="20"/>
          <w:rFonts w:hint="default" w:hAnsi="仿宋"/>
        </w:rPr>
        <w:t>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2065.02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</w:rPr>
        <w:t>1459.41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</w:rPr>
        <w:t>262.29</w:t>
      </w:r>
      <w:r>
        <w:rPr>
          <w:rStyle w:val="20"/>
          <w:rFonts w:hint="default" w:hAnsi="仿宋"/>
        </w:rPr>
        <w:t>万元、卫生健康支出</w:t>
      </w:r>
      <w:r>
        <w:rPr>
          <w:rStyle w:val="21"/>
          <w:rFonts w:hint="eastAsia" w:ascii="仿宋_GB2312" w:hAnsi="仿宋" w:eastAsia="仿宋_GB2312"/>
        </w:rPr>
        <w:t>85.72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、农林水支出1</w:t>
      </w:r>
      <w:r>
        <w:rPr>
          <w:rStyle w:val="20"/>
          <w:rFonts w:hint="eastAsia" w:hAnsi="仿宋" w:eastAsia="仿宋_GB2312"/>
          <w:lang w:val="en-US" w:eastAsia="zh-CN"/>
        </w:rPr>
        <w:t>32</w:t>
      </w:r>
      <w:r>
        <w:rPr>
          <w:rStyle w:val="20"/>
          <w:rFonts w:hint="eastAsia" w:hAnsi="仿宋" w:eastAsia="仿宋_GB2312"/>
          <w:lang w:eastAsia="zh-CN"/>
        </w:rPr>
        <w:t>.24万元、住房保障支出125.36万元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9644EEA">
      <w:pPr>
        <w:spacing w:line="640" w:lineRule="exact"/>
        <w:ind w:firstLine="420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702945</wp:posOffset>
            </wp:positionH>
            <wp:positionV relativeFrom="paragraph">
              <wp:posOffset>99695</wp:posOffset>
            </wp:positionV>
            <wp:extent cx="4826000" cy="2743200"/>
            <wp:effectExtent l="4445" t="4445" r="8255" b="1460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475E662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基本支出1932.78万元，比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56.14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2.99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人员待遇提升，人员经费支出增加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E2DD16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1708.91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7FFD0C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223.86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156E443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7DED622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一般公共预算财政拨款项目支出预算1236.71万元，比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1104.47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89.31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压减开支，本年度预算项目支出减少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EBBE4E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个，主要是2025年中央农村综合改革专项补助资金（环县洪德镇洪德街村寨子庄组刘家山组道路硬化项目）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、2025年驻村帮扶工作队经费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E23CEE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2026年村级经费（村务监督误工补贴及妇女报酬）、2026年村级经费（村级办公、安全生产、残协）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886059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899721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77E3067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1.一般公共服务（类）政府办公厅（室）及相关机构事务（款）行政运行（项）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预算数为1459.41 万元，比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337.41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压减开支，本年公用经费预算支出减少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4CBD1AE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.社会保障和就业支出（类）行政事业单位养老支出（款）机关事业单位基本养老保险缴费支出（项）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预算数为167.14 万元， 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8.10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养老保险缴费标准提高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18CB3268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.社会保障和就业支出（类）行政事业单位养老支出（款）机关事业单位职业年金缴费支出（项）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预算数为83.57 万元，比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4.05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缴费标准提高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42BF2A1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.社会保障和就业支出（类）抚恤（款）死亡抚恤（项）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1.62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万元，比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0.43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万元，主要原因是本年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遗属生活补助支出减少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59AEBAD5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.社会保障和就业支出（类）其他社会保障和就业支出（款）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其他社会保障和就业支出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9.95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万元，比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0.44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缴费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人员减少，工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伤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、失业保险缴费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3B08F8C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.卫生健康支出（类）行政事业单位医疗（款）行政单位医疗（项）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预算数为85.72 万元，比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3.42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缴费标准提高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359E65F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.农林水支出（类）农村综合改革（款）对村民委员会和村党支部的补助（项）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预算数为132.24万元，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与上年持平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3793CA4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.住房保障支出（类）住房改革支出（款）住房公积金（项）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预算数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125.36万元，比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6.08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万元，主要原因是本年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人员缴费标准提高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2DE6DF4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C4FCB8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0523E3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“三公”经费预算5万元，较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年预算数无变化。</w:t>
      </w:r>
    </w:p>
    <w:p w14:paraId="16FBB6A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1.因公出国（境）费用0万元，较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年预算无增减。</w:t>
      </w:r>
    </w:p>
    <w:p w14:paraId="2E70E0B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2.公务接待费0万元，较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年预算无增减。</w:t>
      </w:r>
    </w:p>
    <w:p w14:paraId="2B9BC9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3.公务用车购置及运行维护费5万元，全部为公务用车运行维护费，较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年预算无增减。</w:t>
      </w:r>
    </w:p>
    <w:p w14:paraId="2764C0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（二）培训费预算情况说明</w:t>
      </w:r>
    </w:p>
    <w:p w14:paraId="25AD01B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4.培训费0万元，较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年预算无增减。</w:t>
      </w:r>
    </w:p>
    <w:p w14:paraId="5EF7C6B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（三）会议费预算情况说明</w:t>
      </w:r>
    </w:p>
    <w:p w14:paraId="0A79B00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5.会议费5.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2025年预算无增减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86238C4">
      <w:pPr>
        <w:widowControl/>
        <w:adjustRightInd w:val="0"/>
        <w:snapToGrid w:val="0"/>
        <w:spacing w:line="240" w:lineRule="auto"/>
        <w:contextualSpacing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5387340" cy="2885440"/>
            <wp:effectExtent l="4445" t="4445" r="18415" b="571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359CB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39FDA63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22.33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9.56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是落实过紧日子思想，公用开支减少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8BCC4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28B60B4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本部门无政府采购预算计划。</w:t>
      </w:r>
    </w:p>
    <w:p w14:paraId="0F932D6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0856B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年末固定资产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净额</w:t>
      </w:r>
      <w:r>
        <w:rPr>
          <w:rFonts w:hint="eastAsia" w:ascii="仿宋_GB2312" w:hAnsi="仿宋" w:eastAsia="仿宋_GB2312"/>
          <w:sz w:val="32"/>
          <w:szCs w:val="32"/>
        </w:rPr>
        <w:t>为337.14万元，主要为房屋、车辆、设备及办公家具、电脑、保险柜等。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度无购置固定资产计划。</w:t>
      </w:r>
    </w:p>
    <w:p w14:paraId="27FA642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6A39799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17D9A1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2026年未安排</w:t>
      </w:r>
      <w:r>
        <w:rPr>
          <w:rFonts w:hint="eastAsia" w:ascii="仿宋_GB2312" w:hAnsi="仿宋" w:eastAsia="仿宋_GB2312"/>
          <w:sz w:val="32"/>
          <w:szCs w:val="32"/>
        </w:rPr>
        <w:t>政府性基金预算拨款支出，较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64.00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29FFBA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3E8024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2026年无</w:t>
      </w:r>
      <w:r>
        <w:rPr>
          <w:rFonts w:ascii="仿宋_GB2312" w:hAnsi="仿宋" w:eastAsia="仿宋_GB2312"/>
          <w:sz w:val="32"/>
          <w:szCs w:val="32"/>
        </w:rPr>
        <w:t>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06660C">
      <w:pPr>
        <w:adjustRightInd w:val="0"/>
        <w:snapToGrid w:val="0"/>
        <w:spacing w:line="640" w:lineRule="exact"/>
        <w:ind w:firstLine="643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07948C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本部门2026年无重点项目安排。</w:t>
      </w:r>
    </w:p>
    <w:p w14:paraId="484A7E1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8E4BBC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未安排预算，管理转移支付表为空表。</w:t>
      </w:r>
    </w:p>
    <w:p w14:paraId="6DC6F1C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3038A15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501C390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7C1CAE2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6DFC7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79BCF5B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>个，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1F6962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支付进度较慢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%。“双监控”发现存在的问题和主要原因是：项目执行缓慢，支付进度缓慢。</w:t>
      </w:r>
    </w:p>
    <w:p w14:paraId="08D3C1F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sz w:val="32"/>
          <w:szCs w:val="32"/>
        </w:rPr>
        <w:t>随部门决算报送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公开。</w:t>
      </w:r>
    </w:p>
    <w:p w14:paraId="6C210F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度减少部门预算项目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个，压减率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45.5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D8D435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2026年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绩效目标编制情况</w:t>
      </w:r>
    </w:p>
    <w:p w14:paraId="3974975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0BF1551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1705BB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5F9EAC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2EBF41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081EFF6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10DAC0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937D7B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AE31CE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88B0F2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0099F38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0A15B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环县洪德镇人民政府2026年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A6E9EA7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环县洪德镇人民政府2026年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76ACEA78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环县洪德镇人民政府</w:t>
      </w:r>
    </w:p>
    <w:p w14:paraId="63836401">
      <w:pPr>
        <w:adjustRightInd w:val="0"/>
        <w:snapToGrid w:val="0"/>
        <w:spacing w:line="640" w:lineRule="exact"/>
        <w:ind w:firstLine="5760" w:firstLineChars="1800"/>
        <w:contextualSpacing/>
        <w:jc w:val="left"/>
        <w:rPr>
          <w:rFonts w:ascii="宋体" w:hAnsi="宋体"/>
          <w:b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2026年2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附件1</w:t>
      </w:r>
    </w:p>
    <w:p w14:paraId="0DE625C4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表一、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收支总体情况表</w:t>
      </w:r>
    </w:p>
    <w:p w14:paraId="2BA7FCD9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1502"/>
        <w:gridCol w:w="3294"/>
        <w:gridCol w:w="1312"/>
      </w:tblGrid>
      <w:tr w14:paraId="2E5B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66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8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324C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1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26FD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E21E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2065.02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92EB96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1459.41</w:t>
            </w:r>
          </w:p>
        </w:tc>
      </w:tr>
      <w:tr w14:paraId="2E99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65F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3A086D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05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4D8A7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C0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四、教育专户核算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17AFFB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A1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88208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5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3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六、上级补助收入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2201A3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23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D92ABF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75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5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八、经营收入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27C00E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262.29</w:t>
            </w:r>
          </w:p>
        </w:tc>
      </w:tr>
      <w:tr w14:paraId="3F62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九、社会保险基金支出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AAE5B2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01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C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6B9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十、卫生健康支出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C62516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85.72</w:t>
            </w:r>
          </w:p>
        </w:tc>
      </w:tr>
      <w:tr w14:paraId="4480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1A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34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十一、节能环保支出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90898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D9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0B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B724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十二、城乡社区支出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132FAD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FE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2B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8D1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十三、农林水支出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EE6B26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132.24</w:t>
            </w:r>
          </w:p>
        </w:tc>
      </w:tr>
      <w:tr w14:paraId="6F20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2E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FBD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十四、交通运输支出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45FC6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CC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B0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F9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5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十五、资源勘探工业信息等支出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1BD4C3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47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76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8B6A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E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十六、商业服务业等支出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82E0F9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A6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320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F3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十七、金融支出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735C81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BF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D3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23A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十八、援助其他地区支出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590FF2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59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1E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41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十九、自然资源海洋气象等支出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E896DA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CF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D6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9AF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二十、住房保障支出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8F42D3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125.36</w:t>
            </w:r>
          </w:p>
        </w:tc>
      </w:tr>
      <w:tr w14:paraId="30BB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B7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889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E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二十一、粮油物资储备支出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4C746E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84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DC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346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二十二、国有资本经营预算支出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A6BCC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2C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5F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CCA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0F6DD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17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30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B0F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二十四、预备费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5647D3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A2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5B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48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二十五、其他支出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5FFCC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46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E20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40F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二十六、转移性支出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04A8E0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39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557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0DD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二十七、债务还本支出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82D43A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3C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3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A7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二十八、债务付息支出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179550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7B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5C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B09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二十九、债务发行费用支出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DDB82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D0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E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BC2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三十、抗疫特别国债还本支出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79614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78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75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63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68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6DD3CA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7E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D90B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2065.02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　年　支　出　合　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9B7D87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2065.02</w:t>
            </w:r>
          </w:p>
        </w:tc>
      </w:tr>
      <w:tr w14:paraId="5656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0B36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21.00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年终结转结余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5BFA7E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21.00</w:t>
            </w:r>
          </w:p>
        </w:tc>
      </w:tr>
      <w:tr w14:paraId="4B2B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D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BC0F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A2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03FF27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C3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0463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E60FD6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</w:tr>
    </w:tbl>
    <w:p w14:paraId="14EDA23B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56C43F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表二、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收入总体情况表</w:t>
      </w:r>
    </w:p>
    <w:p w14:paraId="77A60350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3691"/>
      </w:tblGrid>
      <w:tr w14:paraId="7A57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2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3163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BF7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2065.02</w:t>
            </w:r>
          </w:p>
        </w:tc>
      </w:tr>
      <w:tr w14:paraId="7DF0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经费拨款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50C6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3F59F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2065.02</w:t>
            </w:r>
          </w:p>
        </w:tc>
      </w:tr>
      <w:tr w14:paraId="1D86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二、政府性基金财政拨款收入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6952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A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经费拨款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1C02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6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E1BC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6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三、上年结转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71B0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21.00</w:t>
            </w:r>
          </w:p>
        </w:tc>
      </w:tr>
      <w:tr w14:paraId="7C6C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财政性资金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0BBA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21.00</w:t>
            </w:r>
          </w:p>
        </w:tc>
      </w:tr>
      <w:tr w14:paraId="2355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教育专户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D9BA7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B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非财政性资金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0183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5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70666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</w:tr>
    </w:tbl>
    <w:p w14:paraId="1DD55FBA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color w:val="000000"/>
          <w:sz w:val="18"/>
          <w:szCs w:val="18"/>
        </w:rPr>
        <w:t>备注：无内容应公开空表并说明情况。</w:t>
      </w:r>
    </w:p>
    <w:p w14:paraId="0E1EA5F4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6A884BD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00D4B0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表三、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支出总体情况表</w:t>
      </w:r>
    </w:p>
    <w:p w14:paraId="43C3DFB6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1522"/>
        <w:gridCol w:w="1384"/>
        <w:gridCol w:w="1341"/>
        <w:gridCol w:w="1272"/>
      </w:tblGrid>
      <w:tr w14:paraId="00BC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2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 w14:paraId="58F6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8DE5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1BF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D21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1932.78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360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067C5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21.00</w:t>
            </w:r>
          </w:p>
        </w:tc>
      </w:tr>
      <w:tr w14:paraId="2370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FD05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[201]一般公共服务支出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ECA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4B5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4A3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919A1">
            <w:pPr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2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52CB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[20103]政府办公厅（室）及相关机构事务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2C2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0D8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2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926486">
            <w:pPr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B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90F5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[2010301]行政运行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113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1459.41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15F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1459.41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7CE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DCB0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2E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9593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[208]社会保障和就业支出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AFA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262.29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D17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262.29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D10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C12FF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5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D5EF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[20805]行政事业单位养老支出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24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250.72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3FD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250.72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D5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458D4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C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C81A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[2080505] 机关事业单位基本养老保险缴费支出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4AB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167.14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5B0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167.14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414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52FC8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1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05B0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[2080506]机关事业单位职业年金缴费支出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C38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83.57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2C7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83.57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08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50238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3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09F9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[20808]抚恤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F07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C9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491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30C0D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8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DAB0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[2080801]死亡抚恤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185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8A8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49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8D55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05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569E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[20899]其他社会保障和就业支出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29C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389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D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78DF7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1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35D1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[2089999]其他社会保障和就业支出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541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7A3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E10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715C4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2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D23B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[210]卫生健康支出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5D6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17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7CC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1279C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A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57AD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[21011]行政事业单位医疗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E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150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1C6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DB505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F9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29EE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[2101101]行政单位医疗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5B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7BC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A56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C955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E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335F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[213]农林水支出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20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153.24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0AA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1F1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BF650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21.00</w:t>
            </w:r>
          </w:p>
        </w:tc>
      </w:tr>
      <w:tr w14:paraId="0164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35CA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[21305]巩固脱贫衔接乡村振兴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8A3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555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928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0C7CE7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19.00</w:t>
            </w:r>
          </w:p>
        </w:tc>
      </w:tr>
      <w:tr w14:paraId="25DE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9FA7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]其他巩固脱贫衔接乡村振兴支出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B13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ACB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17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D7EEC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19.00</w:t>
            </w:r>
          </w:p>
        </w:tc>
      </w:tr>
      <w:tr w14:paraId="134E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A827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[21307]农村综合改革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5B7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134.24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6AA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A1B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2672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 w14:paraId="3831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7A40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[2130701]对村级公益事业建设的补助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7D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2A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09E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8BE1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 w14:paraId="2070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290C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[2130705]对村民委员会和村党支部的补助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10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06C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C2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4B38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3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F06C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[221]住房保障支出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D2F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EFF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919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B54AF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1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4DEA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[22102]住房改革支出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709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21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CD4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55562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9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1D9F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[2210201]住房公积金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492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F79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D5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F4E98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87C5951">
      <w:pPr>
        <w:widowControl/>
        <w:spacing w:line="5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6F219877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7C8876C8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42502316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06F2B488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76D77CC4">
      <w:pPr>
        <w:tabs>
          <w:tab w:val="left" w:pos="4056"/>
        </w:tabs>
        <w:rPr>
          <w:rFonts w:hint="eastAsia" w:ascii="仿宋_GB2312" w:hAnsi="仿宋_GB2312" w:eastAsia="仿宋_GB2312" w:cs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66C20F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表四、财政拨款收支总体情况表</w:t>
      </w:r>
    </w:p>
    <w:p w14:paraId="7E516EE4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784"/>
        <w:gridCol w:w="3914"/>
        <w:gridCol w:w="1556"/>
      </w:tblGrid>
      <w:tr w14:paraId="010D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A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1876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5728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20C3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2065.02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E084BC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2065.02</w:t>
            </w:r>
          </w:p>
        </w:tc>
      </w:tr>
      <w:tr w14:paraId="0201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CDC1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2065.02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A43FC6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1459.41</w:t>
            </w:r>
          </w:p>
        </w:tc>
      </w:tr>
      <w:tr w14:paraId="38B9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8A7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770EE9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43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D8C8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2FB23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74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A8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EDA7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E2C9D6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77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3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9A8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E96A4F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E3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1D3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90AA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3BD549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EE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39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2355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7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0C69BB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4B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20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D05F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F567F4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262.29</w:t>
            </w:r>
          </w:p>
        </w:tc>
      </w:tr>
      <w:tr w14:paraId="5781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7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E353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DAC9CC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B5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3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1035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（十）医疗卫生与计划生育支出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6DEE1F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85.72</w:t>
            </w:r>
          </w:p>
        </w:tc>
      </w:tr>
      <w:tr w14:paraId="34CA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20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0E09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10915E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77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9A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3A06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237381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E6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4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7B92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40CF38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132.24</w:t>
            </w:r>
          </w:p>
        </w:tc>
      </w:tr>
      <w:tr w14:paraId="3491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DF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EEF4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AD6085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A8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A16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4DC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D2F0D5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5A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53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3425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4A7285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71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95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EBC2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B4B8CC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AB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0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2DC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（十八）援助其他地区支出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22D8E2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BA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0B4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C5E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（十九）国土海洋气象等支出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24E344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96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00A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65B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5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（二十）住房保障支出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4C4151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125.36</w:t>
            </w:r>
          </w:p>
        </w:tc>
      </w:tr>
      <w:tr w14:paraId="316F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F5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69D5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（二十一）粮油物资储备支出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E75FD9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04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E72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D871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（二十二）国有资本经营预算支出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820C00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E4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37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4DD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686ADC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89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C74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4E6F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1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（二十四）预备费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A4A0C6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73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08B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4627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（二十五）其他支出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C5FA80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1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3F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4F34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（二十六）债务还本支出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6388DD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D1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C5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8869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（二十七）债务付息支出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D64705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B2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C5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FCAD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（二十八）债务发行费用支出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D1E517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9D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57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B9C5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C7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D8D0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0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D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2909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13D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672F5B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A1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0AD6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2065.02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0D0434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2065.02</w:t>
            </w:r>
          </w:p>
        </w:tc>
      </w:tr>
    </w:tbl>
    <w:p w14:paraId="0D27C085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0BADAA0C">
      <w:pPr>
        <w:rPr>
          <w:rFonts w:ascii="仿宋_GB2312" w:hAnsi="微软雅黑" w:eastAsia="仿宋_GB2312"/>
          <w:sz w:val="18"/>
          <w:szCs w:val="18"/>
        </w:rPr>
      </w:pPr>
    </w:p>
    <w:p w14:paraId="5E90664F">
      <w:pPr>
        <w:rPr>
          <w:rFonts w:ascii="仿宋_GB2312" w:hAnsi="微软雅黑" w:eastAsia="仿宋_GB2312"/>
          <w:sz w:val="18"/>
          <w:szCs w:val="18"/>
        </w:rPr>
      </w:pPr>
    </w:p>
    <w:p w14:paraId="32F89B67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12C16FD0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7BD5DD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表五、财政拨款支出表</w:t>
      </w:r>
    </w:p>
    <w:p w14:paraId="2662B944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396"/>
        <w:gridCol w:w="1153"/>
        <w:gridCol w:w="955"/>
        <w:gridCol w:w="1180"/>
        <w:gridCol w:w="1165"/>
        <w:gridCol w:w="1396"/>
        <w:gridCol w:w="1201"/>
        <w:gridCol w:w="1195"/>
        <w:gridCol w:w="1215"/>
        <w:gridCol w:w="1224"/>
      </w:tblGrid>
      <w:tr w14:paraId="7460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2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1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国有资本经营预算支出</w:t>
            </w:r>
          </w:p>
        </w:tc>
      </w:tr>
      <w:tr w14:paraId="5752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A8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04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B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1DB6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00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47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9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1932.78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D5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153.24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AB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0C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D8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8A9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A57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0778A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8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环县洪德镇人民政府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1DB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656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2086.02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2E2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1932.78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6D9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153.24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78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15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64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82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3D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B9B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A6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AD1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A5A9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89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8A1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F7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67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E6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77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43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20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4EA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3F8509F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3480F189">
      <w:pPr>
        <w:rPr>
          <w:rFonts w:ascii="仿宋_GB2312" w:hAnsi="微软雅黑" w:eastAsia="仿宋_GB2312"/>
          <w:sz w:val="18"/>
          <w:szCs w:val="18"/>
        </w:rPr>
      </w:pPr>
    </w:p>
    <w:p w14:paraId="00070F3C">
      <w:pPr>
        <w:rPr>
          <w:rFonts w:ascii="仿宋_GB2312" w:hAnsi="微软雅黑" w:eastAsia="仿宋_GB2312"/>
          <w:sz w:val="18"/>
          <w:szCs w:val="18"/>
        </w:rPr>
      </w:pPr>
    </w:p>
    <w:p w14:paraId="54D0E6E1">
      <w:pPr>
        <w:rPr>
          <w:rFonts w:ascii="仿宋_GB2312" w:hAnsi="微软雅黑" w:eastAsia="仿宋_GB2312"/>
          <w:sz w:val="18"/>
          <w:szCs w:val="18"/>
        </w:rPr>
      </w:pPr>
    </w:p>
    <w:p w14:paraId="6980CE79">
      <w:pPr>
        <w:rPr>
          <w:rFonts w:ascii="仿宋_GB2312" w:hAnsi="微软雅黑" w:eastAsia="仿宋_GB2312"/>
          <w:sz w:val="18"/>
          <w:szCs w:val="18"/>
        </w:rPr>
      </w:pPr>
    </w:p>
    <w:p w14:paraId="2D8F9DFF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83E3553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BC7395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表六、一般公共预算支出情况表</w:t>
      </w:r>
    </w:p>
    <w:p w14:paraId="6DF901E3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103"/>
        <w:gridCol w:w="2088"/>
        <w:gridCol w:w="2088"/>
        <w:gridCol w:w="2097"/>
      </w:tblGrid>
      <w:tr w14:paraId="0932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9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2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C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 w14:paraId="7CBF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9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1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6F33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5562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2D07A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D5A152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D82C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2065.02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A8FC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1932.78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E78AB6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</w:tr>
      <w:tr w14:paraId="60BA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33A1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3D78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一般公共服务支出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48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59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1BC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7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E2BC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[20103]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85ED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政府办公厅（室）及相关机构事务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A7A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FB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1459.41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B8D5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CB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F3B2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[2010301]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4B81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行政运行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A39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1459.41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A47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1459.41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FD54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1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5A2D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B508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46A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262.29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95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262.29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F96D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B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955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[20805]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5CCF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行政事业单位养老支出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913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250.72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D2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250.72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F731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E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C382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 xml:space="preserve">[2080505] 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7C2B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机关事业单位基本养老保险缴费支出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C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167.14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769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167.14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A4DC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A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8511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[2080506]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B1E2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机关事业单位职业年金缴费支出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D6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83.57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E6F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83.57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674C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AF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DC7E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[20808]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88A3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抚恤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76B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C5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33FC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8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5E0B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[2080801]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59B4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死亡抚恤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1E6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178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9A4C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E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27DA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[20899]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1874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其他社会保障和就业支出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AF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6F1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EAEB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E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8FD3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[2089999]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186B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其他社会保障和就业支出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011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8A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24C4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C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26C2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96BB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卫生健康支出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31C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7D9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5E67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F6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EB66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[21011]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083D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行政事业单位医疗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0C5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843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F42FA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E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2B06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[2101101]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2109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行政单位医疗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BB4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91F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FE6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3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BDCD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3DCD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农林水支出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06B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28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30AC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</w:tr>
      <w:tr w14:paraId="603B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A8B9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[21307]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220C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农村综合改革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97A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134.24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A5F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61F1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</w:tr>
      <w:tr w14:paraId="72B9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6B81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[2130705]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BAF1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对村民委员会和村党支部的补助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EB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1B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F437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132.24</w:t>
            </w:r>
          </w:p>
        </w:tc>
      </w:tr>
      <w:tr w14:paraId="68FA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7D0E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A3E7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住房保障支出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A28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CF3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D923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E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126B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[22102]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53B8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住房改革支出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63E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67D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E9D3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29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39C5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[2210201]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B624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住房公积金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BE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883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FC2B4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40FC20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37731A4C">
      <w:pPr>
        <w:rPr>
          <w:rFonts w:ascii="仿宋_GB2312" w:hAnsi="微软雅黑" w:eastAsia="仿宋_GB2312"/>
          <w:sz w:val="18"/>
          <w:szCs w:val="18"/>
        </w:rPr>
      </w:pPr>
    </w:p>
    <w:p w14:paraId="3BCA1D40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F954C1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表七、一般公共预算基本支出情况表</w:t>
      </w:r>
    </w:p>
    <w:p w14:paraId="6405AC70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54"/>
        <w:gridCol w:w="1715"/>
        <w:gridCol w:w="1988"/>
        <w:gridCol w:w="1876"/>
      </w:tblGrid>
      <w:tr w14:paraId="6202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E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 w14:paraId="4444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E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1C10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C85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4A8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F33E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F9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1932.78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F8D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1708.91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430F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223.86</w:t>
            </w:r>
          </w:p>
        </w:tc>
      </w:tr>
      <w:tr w14:paraId="712C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966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EF10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工资福利支出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B2A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CE8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1707.29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DE0D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94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619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9A29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基本工资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4A5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78F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502.47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846C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BA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56A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AF4E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津贴补贴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7F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C97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516.07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233A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B7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87E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BCB3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奖金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C1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43F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8.97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266D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7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56B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2DD7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绩效工资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059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319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208.04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3D0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E0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D6C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29B1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机关事业单位基本养老保险缴费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50D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6C1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167.14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8D8E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6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6F0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9278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机关事业单位职业年金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17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154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83.57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7B58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D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57F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CC00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职工基本医疗保险缴费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392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145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85.72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BB38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E8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98C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5042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其他社会保障缴费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0E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F10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9.95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AADA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5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3FA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4EA5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住房公积金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06D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26B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125.36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E82C9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61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E04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30199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C057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其他工资福利支出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030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C4A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0E0A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8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96E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0FA8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商品和服务支出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C1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5A0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4FAD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223.86</w:t>
            </w:r>
          </w:p>
        </w:tc>
      </w:tr>
      <w:tr w14:paraId="1484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F0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8266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办公费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42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5AF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67B0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165.20</w:t>
            </w:r>
          </w:p>
        </w:tc>
      </w:tr>
      <w:tr w14:paraId="40E0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C02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AC8D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C51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EAE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58550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3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126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57A1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电费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99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84E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B537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A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C50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4E18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邮电费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D72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B9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04D8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03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99D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8291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取暖费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6A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669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1AD7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</w:tr>
      <w:tr w14:paraId="372D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FF0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0685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差旅费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0F1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AED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1DC3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5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417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5A30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维修（护）费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78F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64D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FA85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3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6E4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9DD3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会议费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A02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B52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53B4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 w14:paraId="016D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774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951E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培训费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6D2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87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0C0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1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2CF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F38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公务接待费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58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CDA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EBC9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C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C35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30228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5911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工会经费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EA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A26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B843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12.54</w:t>
            </w:r>
          </w:p>
        </w:tc>
      </w:tr>
      <w:tr w14:paraId="50EA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658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30229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63F0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福利费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6D6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59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AD62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26.12</w:t>
            </w:r>
          </w:p>
        </w:tc>
      </w:tr>
      <w:tr w14:paraId="3190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EF4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30231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69CB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公务用车运行维护费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E6C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6C1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09F2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 w14:paraId="354A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D85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30239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8604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其他交通费用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EB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21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9D67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0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D28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5776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对个人和家庭的补助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032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BB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4159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7A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284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8D66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离休费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30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BBE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84A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C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F0A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DC35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退休费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347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D9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9007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E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8A0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9675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抚恤金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A3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9B5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1.62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00B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E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C48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690A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生活补助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8E7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D94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C725E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DB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803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C6AA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医疗费补助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3D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0F2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0AAE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4B857B7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  <w:r>
        <w:rPr>
          <w:rFonts w:ascii="仿宋_GB2312" w:hAnsi="微软雅黑" w:eastAsia="仿宋_GB2312"/>
          <w:sz w:val="18"/>
          <w:szCs w:val="18"/>
        </w:rPr>
        <w:tab/>
      </w:r>
    </w:p>
    <w:p w14:paraId="56880C7C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表八、一般公共预算财政拨款“三公”经费、会议费、培训费支出情况表</w:t>
      </w:r>
    </w:p>
    <w:p w14:paraId="0C1137E3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1032"/>
        <w:gridCol w:w="1364"/>
        <w:gridCol w:w="1032"/>
        <w:gridCol w:w="1032"/>
        <w:gridCol w:w="1041"/>
        <w:gridCol w:w="1032"/>
        <w:gridCol w:w="2873"/>
      </w:tblGrid>
      <w:tr w14:paraId="1311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0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</w:tr>
      <w:tr w14:paraId="0448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A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公务用车购置和运行费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E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A89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1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6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A5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D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A8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05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8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688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53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015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373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8FAB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624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AA4E4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17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环县洪德镇人民政府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0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E6D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7A2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FE88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3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7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F838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5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F50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155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D48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35F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034E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10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68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C633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CFCAA07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15F554DF">
      <w:pPr>
        <w:rPr>
          <w:rFonts w:ascii="仿宋_GB2312" w:hAnsi="微软雅黑" w:eastAsia="仿宋_GB2312"/>
          <w:sz w:val="18"/>
          <w:szCs w:val="18"/>
        </w:rPr>
      </w:pPr>
    </w:p>
    <w:p w14:paraId="40D30E2E">
      <w:pPr>
        <w:rPr>
          <w:rFonts w:ascii="仿宋_GB2312" w:hAnsi="微软雅黑" w:eastAsia="仿宋_GB2312"/>
          <w:sz w:val="18"/>
          <w:szCs w:val="18"/>
        </w:rPr>
      </w:pPr>
    </w:p>
    <w:p w14:paraId="45A8F9E8">
      <w:pPr>
        <w:rPr>
          <w:rFonts w:ascii="仿宋_GB2312" w:hAnsi="微软雅黑" w:eastAsia="仿宋_GB2312"/>
          <w:sz w:val="18"/>
          <w:szCs w:val="18"/>
        </w:rPr>
      </w:pPr>
    </w:p>
    <w:p w14:paraId="678E9109">
      <w:pPr>
        <w:rPr>
          <w:rFonts w:ascii="仿宋_GB2312" w:hAnsi="微软雅黑" w:eastAsia="仿宋_GB2312"/>
          <w:sz w:val="18"/>
          <w:szCs w:val="18"/>
        </w:rPr>
      </w:pPr>
    </w:p>
    <w:p w14:paraId="50CE6124">
      <w:pPr>
        <w:rPr>
          <w:rFonts w:ascii="仿宋_GB2312" w:hAnsi="微软雅黑" w:eastAsia="仿宋_GB2312"/>
          <w:sz w:val="18"/>
          <w:szCs w:val="18"/>
        </w:rPr>
      </w:pPr>
    </w:p>
    <w:p w14:paraId="2173F73E">
      <w:pPr>
        <w:rPr>
          <w:rFonts w:ascii="仿宋_GB2312" w:hAnsi="微软雅黑" w:eastAsia="仿宋_GB2312"/>
          <w:sz w:val="18"/>
          <w:szCs w:val="18"/>
        </w:rPr>
      </w:pPr>
    </w:p>
    <w:p w14:paraId="253A82DE">
      <w:pPr>
        <w:rPr>
          <w:rFonts w:ascii="仿宋_GB2312" w:hAnsi="微软雅黑" w:eastAsia="仿宋_GB2312"/>
          <w:sz w:val="18"/>
          <w:szCs w:val="18"/>
        </w:rPr>
      </w:pPr>
    </w:p>
    <w:p w14:paraId="3E035862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6C09A42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048AF4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表九、一般公共预算财政拨款机关运行经费表</w:t>
      </w:r>
    </w:p>
    <w:p w14:paraId="2E9F4F31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67"/>
        <w:gridCol w:w="2268"/>
        <w:gridCol w:w="2223"/>
        <w:gridCol w:w="1872"/>
      </w:tblGrid>
      <w:tr w14:paraId="2B50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A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3729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A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4AD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847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0440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F8E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306.32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C6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211.32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A0FBBA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95.00</w:t>
            </w:r>
          </w:p>
        </w:tc>
      </w:tr>
      <w:tr w14:paraId="6B32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9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90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[30201]办公费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2EB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260.2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6C9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165.20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CE5086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95.00</w:t>
            </w:r>
          </w:p>
        </w:tc>
      </w:tr>
      <w:tr w14:paraId="16DE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C8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E8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[30202]印刷费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6A3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70F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4C8B23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5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AC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429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[30205]水费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1D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82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25593C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C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82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612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[30206]电费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B2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8F7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1BBC9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E4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D8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7248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[30207]邮电费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03B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0A9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CEFCC0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6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5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C40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[30208]取暖费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6EF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84B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8B248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6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C5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185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[30209]物业管理费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61B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250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A9334E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C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6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5CA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[30211]差旅费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23A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226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DB836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2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D9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D5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[30213]维修（护）费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028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A7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7CF6F7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0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18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4C8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[30215]会议费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4F8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5E2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84848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5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9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CC8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[30218]专用材料费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F1B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049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0D62F4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D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D8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B20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[30229]福利费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5C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26.12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BBC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26.12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250D99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60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9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4F6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[30231]公务用车运行维护费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C6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D3F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510FA3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0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D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0A0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[30299]其他商品和服务支出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C3E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C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E0DDC9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F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3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18B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[31002]办公设备购置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1B6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F41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BE2923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8105CDE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50A71DE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表十、政府性基金预算支出情况表</w:t>
      </w:r>
    </w:p>
    <w:p w14:paraId="1BBCED91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4"/>
        <w:gridCol w:w="2448"/>
      </w:tblGrid>
      <w:tr w14:paraId="2E78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5720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9C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327DC32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1F67B5A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表十一、部门管理转移支付表</w:t>
      </w:r>
    </w:p>
    <w:p w14:paraId="345D11C5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8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23C9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CD2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6EC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D6F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0CF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3FCA0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07DF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3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F43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E68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10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41B2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40AD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DC5A1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60AB4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1BB74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DD61C0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AAAEF6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DA9E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CABE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40A2A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F8E05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44B2CCF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56EA0E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C9E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0326E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7E494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7F9BE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2B6D1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7804C5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0A3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133E96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6ECE8B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79F4E7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9DB3A7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93EB6C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761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715B31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0CD3F3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BA1B88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61B6F4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8244C9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94D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A1AD78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8AA180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CBE7F0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C721CD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85E600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E03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59D55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89F509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DF660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6D8678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C57971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0A1F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6839D7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58B92D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B70299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4C52E4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44E5F4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D64F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06D5A9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4F98D4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CFFD40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CF6281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958B05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EE9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C3C981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8A843D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81C6C4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E9FD2A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73E94A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0BDD53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2EAC735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表十二、国有资本经营预算支出情况表</w:t>
      </w:r>
    </w:p>
    <w:p w14:paraId="6557DB9E">
      <w:pPr>
        <w:wordWrap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3C6E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7D47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7697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7F71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E00D0B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886690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A14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222F1A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662FB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FD0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CEB5F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78530F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6CC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34C50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4D464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611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6F53D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DE28D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32B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2556F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78ED2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549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2E375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2CB41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D76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CA6B0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DE9B4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850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6564A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5F8CC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5F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51426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3ABD9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202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52C8C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C4FFA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8E6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844C2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6FE3F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2454CFBB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</w:t>
      </w:r>
      <w:r>
        <w:rPr>
          <w:rFonts w:hint="eastAsia" w:ascii="仿宋_GB2312" w:hAnsi="微软雅黑" w:eastAsia="仿宋_GB2312"/>
          <w:sz w:val="18"/>
          <w:szCs w:val="18"/>
          <w:lang w:eastAsia="zh-CN"/>
        </w:rPr>
        <w:t>。</w:t>
      </w:r>
    </w:p>
    <w:p w14:paraId="2A9C2FC4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3ACE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部门整体支出绩效目标表</w:t>
      </w:r>
    </w:p>
    <w:p w14:paraId="4004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度）</w:t>
      </w:r>
    </w:p>
    <w:tbl>
      <w:tblPr>
        <w:tblW w:w="9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351"/>
        <w:gridCol w:w="1353"/>
        <w:gridCol w:w="2636"/>
        <w:gridCol w:w="1306"/>
        <w:gridCol w:w="1496"/>
      </w:tblGrid>
      <w:tr w14:paraId="20B7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单位（部门）名称</w:t>
            </w:r>
          </w:p>
        </w:tc>
        <w:tc>
          <w:tcPr>
            <w:tcW w:w="8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环县洪德镇人民政府</w:t>
            </w:r>
          </w:p>
        </w:tc>
      </w:tr>
      <w:tr w14:paraId="3246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8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环县洪德镇人民政府负责搞好本行政区域内商品流通，协调好本乡镇与外地区的经济交流与合作，抓好招商引资，人才引进项目开发，不断培育市场体系，组织经济运行，促进经济发展。制定并组织实施村乡建设规划，部署重点工程建设，地方道路建设及公共设施，水利设施的管理，负责土地、林木、水等自然资源和生态环境的保护，做好护林防火工作。负责本行政区域内的民政、计划生育、文化教育、卫生、体育等社会公益事业的综合性工作，维护一切经济单位和个人的正当经济权益，取缔非法经济活动，调解和处理民事纠纷，打击刑事犯罪维护社会稳定。坚持以习近平新时代中国特色社会主义思想为指导，全面贯彻落实中央及省市县各项决策部署，紧紧围绕乡村振兴、产业发展、民生保障、基层治理、生态保护、安全生产等重点工作，切实履行政府职能，不断提升行政效能和服务水平，全力推动耿湾乡经济社会高质量发展，切实增强人民群众获得感、幸福感、安全感。</w:t>
            </w:r>
          </w:p>
        </w:tc>
      </w:tr>
      <w:tr w14:paraId="4A07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预算情况（万元）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按支出类型分</w:t>
            </w:r>
          </w:p>
        </w:tc>
        <w:tc>
          <w:tcPr>
            <w:tcW w:w="3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按来源类型分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</w:tr>
      <w:tr w14:paraId="78FB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1708.93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上级财政补助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32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本级财政安排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2084.02</w:t>
            </w:r>
          </w:p>
        </w:tc>
      </w:tr>
      <w:tr w14:paraId="65EF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1932.78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8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153.24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收入预算合计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2086.02</w:t>
            </w:r>
          </w:p>
        </w:tc>
      </w:tr>
      <w:tr w14:paraId="578B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对下转移支付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支出预算合计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2086.02</w:t>
            </w:r>
          </w:p>
        </w:tc>
      </w:tr>
      <w:tr w14:paraId="6660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153.24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00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24BA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基本运行指标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预算收支管理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基本支出预算执行率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</w:tr>
      <w:tr w14:paraId="15B1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项目支出预算执行率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</w:tr>
      <w:tr w14:paraId="36E3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F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E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“三公经费”控制率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</w:tr>
      <w:tr w14:paraId="1F82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F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结转结余变动率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≤10%</w:t>
            </w:r>
          </w:p>
        </w:tc>
      </w:tr>
      <w:tr w14:paraId="541A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资金使用合规性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合规</w:t>
            </w:r>
          </w:p>
        </w:tc>
      </w:tr>
      <w:tr w14:paraId="6332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5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5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会计和内控制度执行有效性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</w:t>
            </w:r>
          </w:p>
        </w:tc>
      </w:tr>
      <w:tr w14:paraId="6766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政府采购规范性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1653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政府采购资金节约率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≥5%</w:t>
            </w:r>
          </w:p>
        </w:tc>
      </w:tr>
      <w:tr w14:paraId="5392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资产管理规范性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3A7C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固定资产利用率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≥96%</w:t>
            </w:r>
          </w:p>
        </w:tc>
      </w:tr>
      <w:tr w14:paraId="3A06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F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在职人员控制率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7258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4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绩效管理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预算绩效管理工作执行率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≥97%</w:t>
            </w:r>
          </w:p>
        </w:tc>
      </w:tr>
      <w:tr w14:paraId="1EF2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重点履职指标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3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村级组织数量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19个</w:t>
            </w:r>
          </w:p>
        </w:tc>
      </w:tr>
      <w:tr w14:paraId="7641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E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全乡农业人口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≥29870人</w:t>
            </w:r>
          </w:p>
        </w:tc>
      </w:tr>
      <w:tr w14:paraId="0270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经费使用合规率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77D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项目验收合格率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≥96%</w:t>
            </w:r>
          </w:p>
        </w:tc>
      </w:tr>
      <w:tr w14:paraId="575B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各类资金拨付及时性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48B4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机构正常运转率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725D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9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公务费控制数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≤165.2万元</w:t>
            </w:r>
          </w:p>
        </w:tc>
      </w:tr>
      <w:tr w14:paraId="33EE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在职人员工资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≤1235.5618万元</w:t>
            </w:r>
          </w:p>
        </w:tc>
      </w:tr>
      <w:tr w14:paraId="1218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部门综合指标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全乡人均可支配收入提高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≥1000元</w:t>
            </w:r>
          </w:p>
        </w:tc>
      </w:tr>
      <w:tr w14:paraId="6CB4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基层组织政权建设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</w:tr>
      <w:tr w14:paraId="1FDD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A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4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2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助力乡村振兴、巩固脱贫攻坚成果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</w:tr>
      <w:tr w14:paraId="6198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农村人居环境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</w:tr>
      <w:tr w14:paraId="653E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6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5DB3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可持续发展能力指标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组织建设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党建引领各项工作成效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148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宣传培训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各类政策宣传及培训落实率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844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制度建设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各项制度建设完善率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FBF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9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改革创新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改革试点工作开展情况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97F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A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3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C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E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C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1D9E839"/>
    <w:p w14:paraId="7D1954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项目支出绩效目标表</w:t>
      </w:r>
    </w:p>
    <w:p w14:paraId="538E3908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度）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2"/>
        <w:gridCol w:w="1607"/>
        <w:gridCol w:w="3160"/>
        <w:gridCol w:w="2023"/>
      </w:tblGrid>
      <w:tr w14:paraId="3194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2026年村级经费（村务监督误工补贴及妇女报酬）</w:t>
            </w:r>
          </w:p>
        </w:tc>
      </w:tr>
      <w:tr w14:paraId="395B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F0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环县洪德镇人民政府</w:t>
            </w:r>
          </w:p>
        </w:tc>
      </w:tr>
      <w:tr w14:paraId="768A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539D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8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37.24</w:t>
            </w:r>
          </w:p>
        </w:tc>
      </w:tr>
      <w:tr w14:paraId="2A66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BC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37.24</w:t>
            </w:r>
          </w:p>
        </w:tc>
      </w:tr>
      <w:tr w14:paraId="3E49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0C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B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A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62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ED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F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年度目标与总体目标一致。</w:t>
            </w:r>
          </w:p>
        </w:tc>
      </w:tr>
      <w:tr w14:paraId="4DD6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C3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总体目标：2026年村级经费（村务监督误工补贴及妇女报酬），主要用于我镇19个村，监督委员会主任、委员工资、村妇联主席工资的发放，提高监督委员，妇联主席的工作积极性，保障村级监督职能的正常发挥，妇联工作的正常开展，充分发挥基层党组织战斗堡垒作用和党员先锋模范作用，更好的服务群众，实现乡村振兴。</w:t>
            </w:r>
          </w:p>
        </w:tc>
      </w:tr>
      <w:tr w14:paraId="6A5F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2DDE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E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≤37.24万元</w:t>
            </w:r>
          </w:p>
        </w:tc>
      </w:tr>
      <w:tr w14:paraId="74AE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8E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38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EE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7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B1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09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5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7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A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6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7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自然村数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19个</w:t>
            </w:r>
          </w:p>
        </w:tc>
      </w:tr>
      <w:tr w14:paraId="5F71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1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1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C0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监督委员会主任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19人</w:t>
            </w:r>
          </w:p>
        </w:tc>
      </w:tr>
      <w:tr w14:paraId="7EF5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F6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97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26D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监督委员会委员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19人</w:t>
            </w:r>
          </w:p>
        </w:tc>
      </w:tr>
      <w:tr w14:paraId="7AE9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E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7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97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村级妇女主席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10人</w:t>
            </w:r>
          </w:p>
        </w:tc>
      </w:tr>
      <w:tr w14:paraId="6063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60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7C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发放到位率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47B2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95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E0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资金发放准确率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2BF2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CA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D9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9D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E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按月支付</w:t>
            </w:r>
          </w:p>
        </w:tc>
      </w:tr>
      <w:tr w14:paraId="717C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0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3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个人收入水平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增收</w:t>
            </w:r>
          </w:p>
        </w:tc>
      </w:tr>
      <w:tr w14:paraId="5A1C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7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4D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服务群众能力提升效果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33BA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77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BA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37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队伍稳定性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稳定</w:t>
            </w:r>
          </w:p>
        </w:tc>
      </w:tr>
      <w:tr w14:paraId="682A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64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C2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6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B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D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D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6C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保障基层工作夯实推进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</w:t>
            </w:r>
          </w:p>
        </w:tc>
      </w:tr>
      <w:tr w14:paraId="6812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63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村干部满意度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5743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财政部门审核意见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业务股室审核意见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3E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绩效评价中心审核意见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A4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D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C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填报人：陈延明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A69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87B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E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联系电话：15293409099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525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20E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项目支出绩效目标表</w:t>
      </w:r>
    </w:p>
    <w:p w14:paraId="310A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  <w:t>度）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01"/>
        <w:gridCol w:w="1553"/>
        <w:gridCol w:w="3139"/>
        <w:gridCol w:w="2165"/>
      </w:tblGrid>
      <w:tr w14:paraId="5893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2026年村级经费（村级办公、安全生产、残协）</w:t>
            </w:r>
          </w:p>
        </w:tc>
      </w:tr>
      <w:tr w14:paraId="6D2B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EE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环县洪德镇人民政府</w:t>
            </w:r>
          </w:p>
        </w:tc>
      </w:tr>
      <w:tr w14:paraId="1A1F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7EF1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</w:tr>
      <w:tr w14:paraId="6BC6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2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</w:tr>
      <w:tr w14:paraId="70CD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EC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11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1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8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1A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6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年度目标与总体目标一致。</w:t>
            </w:r>
          </w:p>
        </w:tc>
      </w:tr>
      <w:tr w14:paraId="3DA9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5D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总体目标：2026年村级经费（村级办公、安全生产、残协），主要用于保障我镇19个村村级组织正常运转，推进乡村振兴，缓解村组织财务困难，调动村组干部工作积极性，巩固村组织在农村的引领作用，充分发挥基层党组织战斗堡垒作用和党员先锋模范作用，更好的加强基层党组织建设，加强村级治理，加强村组干部队伍建设，提高基层组织服务群众能力，实现乡村振兴。</w:t>
            </w:r>
          </w:p>
        </w:tc>
      </w:tr>
      <w:tr w14:paraId="46A0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F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3524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08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3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≤95万元</w:t>
            </w:r>
          </w:p>
        </w:tc>
      </w:tr>
      <w:tr w14:paraId="4FD6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7A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E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65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29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F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A9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E8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7B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C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F7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5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自然村数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19个</w:t>
            </w:r>
          </w:p>
        </w:tc>
      </w:tr>
      <w:tr w14:paraId="6ACA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4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40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72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村级办公经费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44000元/村</w:t>
            </w:r>
          </w:p>
        </w:tc>
      </w:tr>
      <w:tr w14:paraId="2A99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64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0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AB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安全生产经费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5000元/村</w:t>
            </w:r>
          </w:p>
        </w:tc>
      </w:tr>
      <w:tr w14:paraId="11CD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70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25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8F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残协经费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1000元/村</w:t>
            </w:r>
          </w:p>
        </w:tc>
      </w:tr>
      <w:tr w14:paraId="57B8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2D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FA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发放到位率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4CBD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2D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1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资金发放准确率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A17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AF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EC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03A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按月支付</w:t>
            </w:r>
          </w:p>
        </w:tc>
      </w:tr>
      <w:tr w14:paraId="1F4B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1F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经费节约率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≥5%</w:t>
            </w:r>
          </w:p>
        </w:tc>
      </w:tr>
      <w:tr w14:paraId="5624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D1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84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服务群众能力提升效果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197F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34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3A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0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队伍稳定性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稳定</w:t>
            </w:r>
          </w:p>
        </w:tc>
      </w:tr>
      <w:tr w14:paraId="0311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44F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0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5A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07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C0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82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E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保障基层工作夯实推进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</w:t>
            </w:r>
          </w:p>
        </w:tc>
      </w:tr>
      <w:tr w14:paraId="1413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68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村干部满意度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64CD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财政部门审核意见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业务股室审核意见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D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绩效评价中心审核意见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F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2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4B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填报人：陈延明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7DB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964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F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联系电话：15293409099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7B8E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9AD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eastAsia="仿宋_GB2312"/>
          <w:b/>
          <w:sz w:val="28"/>
          <w:szCs w:val="28"/>
        </w:rPr>
      </w:pPr>
    </w:p>
    <w:p w14:paraId="28CC3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项目支出绩效目标表</w:t>
      </w:r>
    </w:p>
    <w:p w14:paraId="73B6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2026年</w:t>
      </w:r>
      <w:r>
        <w:rPr>
          <w:rFonts w:hint="eastAsia" w:ascii="仿宋_GB2312" w:eastAsia="仿宋_GB2312"/>
          <w:b/>
          <w:sz w:val="24"/>
          <w:szCs w:val="24"/>
        </w:rPr>
        <w:t>度）</w:t>
      </w:r>
    </w:p>
    <w:tbl>
      <w:tblPr>
        <w:tblW w:w="9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19"/>
        <w:gridCol w:w="1435"/>
        <w:gridCol w:w="3419"/>
        <w:gridCol w:w="2401"/>
      </w:tblGrid>
      <w:tr w14:paraId="1CB8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2025年度驻村帮扶工作队经费</w:t>
            </w:r>
          </w:p>
        </w:tc>
      </w:tr>
      <w:tr w14:paraId="06C2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8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环县洪德镇人民政府</w:t>
            </w:r>
          </w:p>
        </w:tc>
      </w:tr>
      <w:tr w14:paraId="7C64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新增项目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43BA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</w:tr>
      <w:tr w14:paraId="3E99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B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C5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E9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C2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19.00</w:t>
            </w:r>
          </w:p>
        </w:tc>
      </w:tr>
      <w:tr w14:paraId="1D50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9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5C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14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E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年度目标与总体目标一致</w:t>
            </w:r>
          </w:p>
        </w:tc>
      </w:tr>
      <w:tr w14:paraId="1155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8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总体目标：深入贯彻落实巩固拓展脱贫攻坚成果同乡村振兴有效衔接工作部署，切实保障驻村帮扶工作队正常履职、高效运转，规范项目资金管理，提高财政资金使用效益。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通过稳定、规范、有效的经费保障，充分发挥驻村帮扶工作队作用，持续提升帮扶工作质量和群众满意度，助力脱贫村产业稳步发展、群众收入持续增加、乡村治理不断完善，为巩固拓展脱贫攻坚成果、全面推进乡村振兴提供坚实有力的经费支撑和服务保障。</w:t>
            </w:r>
          </w:p>
        </w:tc>
      </w:tr>
      <w:tr w14:paraId="2F4D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4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4DBE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9B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≤19万元</w:t>
            </w:r>
          </w:p>
        </w:tc>
      </w:tr>
      <w:tr w14:paraId="03BF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4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C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17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经费发放标准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=10000元/村/年</w:t>
            </w:r>
          </w:p>
        </w:tc>
      </w:tr>
      <w:tr w14:paraId="20B7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B1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保障驻村帮扶工作队数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19个</w:t>
            </w:r>
          </w:p>
        </w:tc>
      </w:tr>
      <w:tr w14:paraId="685A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62E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1E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0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经费覆盖驻村行政村数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19个</w:t>
            </w:r>
          </w:p>
        </w:tc>
      </w:tr>
      <w:tr w14:paraId="09C5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FB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0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经费使用合规率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3BB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0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1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ED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驻村工作任务完成合规率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2030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01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FD4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经费拨付及时率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8A7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3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推动驻村集体经济发展成效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明显提升</w:t>
            </w:r>
          </w:p>
        </w:tc>
      </w:tr>
      <w:tr w14:paraId="4124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05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AA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驻村基层治理水平提升效果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有效提升</w:t>
            </w:r>
          </w:p>
        </w:tc>
      </w:tr>
      <w:tr w14:paraId="54C0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7A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B4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驻村工作机制完善可持续性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持续稳定</w:t>
            </w:r>
          </w:p>
        </w:tc>
      </w:tr>
      <w:tr w14:paraId="1F67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C0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驻村帮扶工作队满意度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0E33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财政部门审核意见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业务股室审核意见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签章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绩效评价中心审核意见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签章</w:t>
            </w:r>
          </w:p>
        </w:tc>
      </w:tr>
      <w:tr w14:paraId="2029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6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03F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D697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6D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8C6F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5B5BDB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项目支出绩效目标表</w:t>
      </w:r>
    </w:p>
    <w:p w14:paraId="631837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度）</w:t>
      </w:r>
    </w:p>
    <w:tbl>
      <w:tblPr>
        <w:tblW w:w="9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95"/>
        <w:gridCol w:w="1541"/>
        <w:gridCol w:w="3476"/>
        <w:gridCol w:w="2063"/>
      </w:tblGrid>
      <w:tr w14:paraId="5226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2025年中央农村综合改革专项补助资金（环县洪德镇洪德街村寨子庄组刘家山组道路硬化项目）</w:t>
            </w:r>
          </w:p>
        </w:tc>
      </w:tr>
      <w:tr w14:paraId="328A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B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环县洪德镇人民政府</w:t>
            </w:r>
          </w:p>
        </w:tc>
      </w:tr>
      <w:tr w14:paraId="2AF4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B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394E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1F8B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25B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37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4D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C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25D5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1A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B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C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8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年度目标与总体目标一致。</w:t>
            </w:r>
          </w:p>
        </w:tc>
      </w:tr>
      <w:tr w14:paraId="1916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5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总体目标：2025年在洪德镇洪德街村寨子庄组刘家山组道路硬化项目新建硬化路1.561公里，其中寨子庄组主线792米沥青路面，路基4.5米，路面3.5米)，支线434米(水泥路面，路基路面同宽3.5米)，刘家山组335米(沥青路面，路基4.5米，路面4.0米);波形梁护栏184米，标志6块，振荡式减速标线66.15平方米，道口标柱18根，公示牌1块，梯形边沟334米排水沟70米，DN500过路涵17米/2处，平交4处，太阳能路灯31盏，预留2万元工程质保金。</w:t>
            </w:r>
          </w:p>
        </w:tc>
      </w:tr>
      <w:tr w14:paraId="2E89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54F9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5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≤2万元</w:t>
            </w:r>
          </w:p>
        </w:tc>
      </w:tr>
      <w:tr w14:paraId="7799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D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质保金质保年限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1918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44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96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按照设计标准执行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50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C1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C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6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工程质量验收合格率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423C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D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4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0B1F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78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8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51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经费拨付及时率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7A1F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27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带动农户经济收入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带动</w:t>
            </w:r>
          </w:p>
        </w:tc>
      </w:tr>
      <w:tr w14:paraId="6D4B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D7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BA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E1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受益人数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≥270人</w:t>
            </w:r>
          </w:p>
        </w:tc>
      </w:tr>
      <w:tr w14:paraId="1B1F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9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D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≥10年</w:t>
            </w:r>
          </w:p>
        </w:tc>
      </w:tr>
      <w:tr w14:paraId="37CE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3D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D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群众对道路硬化项目满意度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02BC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财政部门审核意见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业务股室审核意见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BB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绩效评价中心审核意见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C8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0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6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填报人：陈延明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9CB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BC8D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A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联系电话：15293409099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A1AB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F646D90">
      <w:pPr>
        <w:tabs>
          <w:tab w:val="left" w:pos="1848"/>
        </w:tabs>
        <w:jc w:val="left"/>
        <w:rPr>
          <w:rFonts w:hint="eastAsia" w:ascii="仿宋_GB2312" w:eastAsia="仿宋_GB2312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2A84D">
    <w:pPr>
      <w:pStyle w:val="5"/>
      <w:jc w:val="center"/>
    </w:pPr>
  </w:p>
  <w:p w14:paraId="5B82D02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991A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B74215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Y2YzkwMzBhNTBlNDI2ODk3MzRhYmJjM2UwZWUifQ=="/>
  </w:docVars>
  <w:rsids>
    <w:rsidRoot w:val="00172A27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4AE18D1"/>
    <w:rsid w:val="07576E77"/>
    <w:rsid w:val="07DB2E2B"/>
    <w:rsid w:val="113741D2"/>
    <w:rsid w:val="123A29F6"/>
    <w:rsid w:val="1D34261E"/>
    <w:rsid w:val="24617404"/>
    <w:rsid w:val="26C24F24"/>
    <w:rsid w:val="29D03297"/>
    <w:rsid w:val="2BAA30E1"/>
    <w:rsid w:val="304F701A"/>
    <w:rsid w:val="4C2C4D07"/>
    <w:rsid w:val="50CC06E1"/>
    <w:rsid w:val="527E074E"/>
    <w:rsid w:val="538452A3"/>
    <w:rsid w:val="579503FF"/>
    <w:rsid w:val="584B45E2"/>
    <w:rsid w:val="5EDB41E5"/>
    <w:rsid w:val="60535296"/>
    <w:rsid w:val="72FD2525"/>
    <w:rsid w:val="CFF19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21"/>
    <w:basedOn w:val="9"/>
    <w:autoRedefine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5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7">
    <w:name w:val="font61"/>
    <w:basedOn w:val="9"/>
    <w:autoRedefine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8">
    <w:name w:val="font7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9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1">
    <w:name w:val="font31"/>
    <w:basedOn w:val="9"/>
    <w:autoRedefine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32">
    <w:name w:val="font12"/>
    <w:basedOn w:val="9"/>
    <w:autoRedefine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3">
    <w:name w:val="font101"/>
    <w:basedOn w:val="9"/>
    <w:autoRedefine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34">
    <w:name w:val="font11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122"/>
    <w:basedOn w:val="9"/>
    <w:autoRedefine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H:\26&#39044;&#31639;&#20844;&#24320;\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H:\26&#39044;&#31639;&#20844;&#24320;\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4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图1：收入预算构成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1"/>
              <c:delete val="1"/>
            </c:dLbl>
            <c:dLbl>
              <c:idx val="2"/>
              <c:layout>
                <c:manualLayout>
                  <c:x val="0.126434597989253"/>
                  <c:y val="0.0426285378559715"/>
                </c:manualLayout>
              </c:layout>
              <c:numFmt formatCode="General" sourceLinked="1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</c:dLbl>
            <c:numFmt formatCode="General" sourceLinked="1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[图表.xlsx]Sheet2!$G$16:$J$16</c:f>
              <c:strCache>
                <c:ptCount val="4"/>
                <c:pt idx="0">
                  <c:v>一般公共预算财政拨款收入</c:v>
                </c:pt>
                <c:pt idx="1">
                  <c:v>政府性基金预算收入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f>[图表.xlsx]Sheet2!$G$17:$J$17</c:f>
              <c:numCache>
                <c:formatCode>General</c:formatCode>
                <c:ptCount val="4"/>
                <c:pt idx="0">
                  <c:v>2065.02</c:v>
                </c:pt>
                <c:pt idx="1">
                  <c:v>0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a2ab56a-4b7d-4845-87a5-299ea230a1d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图2：支出预算构成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0.0934968375862602"/>
                  <c:y val="0.01231703799426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42332033945623"/>
                  <c:y val="0.033144136462870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37433846314744"/>
                  <c:y val="0.020852479941911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</a:t>
                    </a:r>
                    <a:r>
                      <a:rPr lang="en-US" altLang="zh-CN"/>
                      <a:t>32</a:t>
                    </a:r>
                    <a:r>
                      <a:t>.24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75434283273958"/>
                  <c:y val="-0.029397000865729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[图表.xlsx]Sheet1!$J$12:$N$12</c:f>
              <c:strCache>
                <c:ptCount val="5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农林水支出</c:v>
                </c:pt>
                <c:pt idx="4">
                  <c:v>住房保障支出</c:v>
                </c:pt>
              </c:strCache>
            </c:strRef>
          </c:cat>
          <c:val>
            <c:numRef>
              <c:f>[图表.xlsx]Sheet1!$J$13:$N$13</c:f>
              <c:numCache>
                <c:formatCode>General</c:formatCode>
                <c:ptCount val="5"/>
                <c:pt idx="0">
                  <c:v>1459.41</c:v>
                </c:pt>
                <c:pt idx="1">
                  <c:v>262.29</c:v>
                </c:pt>
                <c:pt idx="2">
                  <c:v>85.72</c:v>
                </c:pt>
                <c:pt idx="3">
                  <c:v>153.24</c:v>
                </c:pt>
                <c:pt idx="4" c:formatCode="#,##0.00">
                  <c:v>125.36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8c948b8-4cac-4bab-a86e-d8b8ab1a4cf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图3：“三公”经费、培训费、会议费等财政拨款情况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ofPieChart>
        <c:ofPieType val="pie"/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multiLvlStrRef>
              <c:f>[工作簿4]Sheet3!$M$15:$Q$16</c:f>
              <c:multiLvlStrCache>
                <c:ptCount val="5"/>
                <c:lvl>
                  <c:pt idx="2">
                    <c:v>公务接待费</c:v>
                  </c:pt>
                  <c:pt idx="3">
                    <c:v>公务用车运行维护费</c:v>
                  </c:pt>
                  <c:pt idx="4">
                    <c:v>公用用车购置费</c:v>
                  </c:pt>
                </c:lvl>
                <c:lvl>
                  <c:pt idx="0">
                    <c:v>会议费</c:v>
                  </c:pt>
                  <c:pt idx="1">
                    <c:v>培训费</c:v>
                  </c:pt>
                  <c:pt idx="2">
                    <c:v>“三公”经费</c:v>
                  </c:pt>
                </c:lvl>
              </c:multiLvlStrCache>
            </c:multiLvlStrRef>
          </c:cat>
          <c:val>
            <c:numRef>
              <c:f>[工作簿4]Sheet3!$M$17:$Q$17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6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9e13908-c5f1-44b1-b893-f836053114d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10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1">
      <cs:styleClr val="auto"/>
    </cs:fillRef>
    <cs:effectRef idx="0"/>
    <cs:fontRef idx="minor">
      <a:schemeClr val="tx1"/>
    </cs:fontRef>
    <cs:spPr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32</Pages>
  <Words>6002</Words>
  <Characters>6562</Characters>
  <Lines>68</Lines>
  <Paragraphs>19</Paragraphs>
  <TotalTime>10</TotalTime>
  <ScaleCrop>false</ScaleCrop>
  <LinksUpToDate>false</LinksUpToDate>
  <CharactersWithSpaces>6604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2024-01-30T17:03:00Z</dcterms:created>
  <dc:creator>home</dc:creator>
  <cp:lastModifiedBy>MEGA_MALONE</cp:lastModifiedBy>
  <cp:lastPrinted>2022-02-15T15:45:00Z</cp:lastPrinted>
  <dcterms:modified xsi:type="dcterms:W3CDTF">2026-03-24T03:27:04Z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3894D231BB97474B96D1C1B86427D231_13</vt:lpwstr>
  </property>
  <property fmtid="{D5CDD505-2E9C-101B-9397-08002B2CF9AE}" pid="4" name="KSOTemplateDocerSaveRecord">
    <vt:lpwstr>eyJoZGlkIjoiNWVlZTY2YzkwMzBhNTBlNDI2ODk3MzRhYmJjM2UwZWUiLCJ1c2VySWQiOiIyNzQ3NTMyOTQifQ==</vt:lpwstr>
  </property>
</Properties>
</file>