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7F69E5">
      <w:pPr>
        <w:spacing w:line="249" w:lineRule="auto"/>
        <w:rPr>
          <w:rFonts w:ascii="Arial"/>
          <w:sz w:val="21"/>
        </w:rPr>
      </w:pPr>
    </w:p>
    <w:p w14:paraId="0164A1A9">
      <w:pPr>
        <w:spacing w:line="249" w:lineRule="auto"/>
        <w:rPr>
          <w:rFonts w:ascii="Arial"/>
          <w:sz w:val="21"/>
        </w:rPr>
      </w:pPr>
    </w:p>
    <w:p w14:paraId="7CC52957">
      <w:pPr>
        <w:spacing w:line="249" w:lineRule="auto"/>
        <w:rPr>
          <w:rFonts w:ascii="Arial"/>
          <w:sz w:val="21"/>
        </w:rPr>
      </w:pPr>
    </w:p>
    <w:p w14:paraId="3C67DE9B">
      <w:pPr>
        <w:spacing w:line="249" w:lineRule="auto"/>
        <w:rPr>
          <w:rFonts w:ascii="Arial"/>
          <w:sz w:val="21"/>
        </w:rPr>
      </w:pPr>
    </w:p>
    <w:p w14:paraId="483E9402">
      <w:pPr>
        <w:spacing w:line="249" w:lineRule="auto"/>
        <w:rPr>
          <w:rFonts w:ascii="Arial"/>
          <w:sz w:val="21"/>
        </w:rPr>
      </w:pPr>
    </w:p>
    <w:p w14:paraId="3B436FD4">
      <w:pPr>
        <w:spacing w:line="249" w:lineRule="auto"/>
        <w:rPr>
          <w:rFonts w:ascii="Arial"/>
          <w:sz w:val="21"/>
        </w:rPr>
      </w:pPr>
    </w:p>
    <w:p w14:paraId="5972FCA3">
      <w:pPr>
        <w:spacing w:line="249" w:lineRule="auto"/>
        <w:rPr>
          <w:rFonts w:ascii="Arial"/>
          <w:sz w:val="21"/>
        </w:rPr>
      </w:pPr>
    </w:p>
    <w:p w14:paraId="093840D7">
      <w:pPr>
        <w:spacing w:line="250" w:lineRule="auto"/>
        <w:rPr>
          <w:rFonts w:ascii="Arial"/>
          <w:sz w:val="21"/>
        </w:rPr>
      </w:pPr>
    </w:p>
    <w:p w14:paraId="23CBD972">
      <w:pPr>
        <w:spacing w:line="250" w:lineRule="auto"/>
        <w:rPr>
          <w:rFonts w:ascii="Arial"/>
          <w:sz w:val="21"/>
        </w:rPr>
      </w:pPr>
    </w:p>
    <w:p w14:paraId="5D485EA5">
      <w:pPr>
        <w:spacing w:line="250" w:lineRule="auto"/>
        <w:rPr>
          <w:rFonts w:ascii="Arial"/>
          <w:sz w:val="21"/>
        </w:rPr>
      </w:pPr>
    </w:p>
    <w:p w14:paraId="4F967731">
      <w:pPr>
        <w:spacing w:line="250" w:lineRule="auto"/>
        <w:rPr>
          <w:rFonts w:ascii="Arial"/>
          <w:sz w:val="21"/>
        </w:rPr>
      </w:pPr>
    </w:p>
    <w:p w14:paraId="2D234C3A">
      <w:pPr>
        <w:spacing w:line="250" w:lineRule="auto"/>
        <w:rPr>
          <w:rFonts w:ascii="Arial"/>
          <w:sz w:val="21"/>
        </w:rPr>
      </w:pPr>
    </w:p>
    <w:p w14:paraId="02CEB328">
      <w:pPr>
        <w:keepNext w:val="0"/>
        <w:keepLines w:val="0"/>
        <w:pageBreakBefore w:val="0"/>
        <w:kinsoku/>
        <w:wordWrap w:val="0"/>
        <w:overflowPunct/>
        <w:topLinePunct w:val="0"/>
        <w:bidi w:val="0"/>
        <w:adjustRightInd/>
        <w:spacing w:line="590" w:lineRule="exact"/>
        <w:ind w:left="142" w:right="0" w:firstLine="0"/>
        <w:jc w:val="center"/>
        <w:textAlignment w:val="auto"/>
        <w:rPr>
          <w:rFonts w:hint="eastAsia" w:ascii="Microsoft JhengHei" w:hAnsi="Microsoft JhengHei" w:eastAsia="宋体" w:cs="Microsoft JhengHei"/>
          <w:sz w:val="44"/>
          <w:szCs w:val="44"/>
          <w:lang w:eastAsia="zh-CN"/>
        </w:rPr>
      </w:pPr>
      <w:r>
        <w:rPr>
          <w:rFonts w:hint="eastAsia" w:ascii="Microsoft JhengHei" w:hAnsi="Microsoft JhengHei" w:eastAsia="宋体" w:cs="Microsoft JhengHei"/>
          <w:b/>
          <w:bCs/>
          <w:w w:val="100"/>
          <w:sz w:val="44"/>
          <w:szCs w:val="44"/>
          <w:lang w:eastAsia="zh-CN"/>
        </w:rPr>
        <w:t>环县地志办</w:t>
      </w:r>
    </w:p>
    <w:p w14:paraId="060F5C52">
      <w:pPr>
        <w:spacing w:before="142" w:line="223" w:lineRule="auto"/>
        <w:ind w:left="1332"/>
        <w:rPr>
          <w:rFonts w:ascii="宋体" w:hAnsi="宋体" w:eastAsia="宋体" w:cs="宋体"/>
          <w:sz w:val="43"/>
          <w:szCs w:val="43"/>
        </w:rPr>
      </w:pPr>
      <w:r>
        <w:rPr>
          <w:rFonts w:ascii="宋体" w:hAnsi="宋体" w:eastAsia="宋体" w:cs="宋体"/>
          <w:b/>
          <w:bCs/>
          <w:spacing w:val="2"/>
          <w:sz w:val="43"/>
          <w:szCs w:val="43"/>
        </w:rPr>
        <w:t>202</w:t>
      </w:r>
      <w:r>
        <w:rPr>
          <w:rFonts w:hint="eastAsia" w:ascii="宋体" w:hAnsi="宋体" w:eastAsia="宋体" w:cs="宋体"/>
          <w:b/>
          <w:bCs/>
          <w:spacing w:val="2"/>
          <w:sz w:val="43"/>
          <w:szCs w:val="43"/>
          <w:lang w:val="en-US" w:eastAsia="zh-CN"/>
        </w:rPr>
        <w:t>6</w:t>
      </w:r>
      <w:r>
        <w:rPr>
          <w:rFonts w:ascii="宋体" w:hAnsi="宋体" w:eastAsia="宋体" w:cs="宋体"/>
          <w:spacing w:val="-78"/>
          <w:sz w:val="43"/>
          <w:szCs w:val="43"/>
        </w:rPr>
        <w:t xml:space="preserve"> </w:t>
      </w:r>
      <w:r>
        <w:rPr>
          <w:rFonts w:ascii="宋体" w:hAnsi="宋体" w:eastAsia="宋体" w:cs="宋体"/>
          <w:b/>
          <w:bCs/>
          <w:spacing w:val="2"/>
          <w:sz w:val="43"/>
          <w:szCs w:val="43"/>
        </w:rPr>
        <w:t>年部门预算公开情况说明</w:t>
      </w:r>
    </w:p>
    <w:p w14:paraId="19C995B0">
      <w:pPr>
        <w:spacing w:line="223" w:lineRule="auto"/>
        <w:rPr>
          <w:rFonts w:ascii="宋体" w:hAnsi="宋体" w:eastAsia="宋体" w:cs="宋体"/>
          <w:sz w:val="43"/>
          <w:szCs w:val="43"/>
        </w:rPr>
        <w:sectPr>
          <w:headerReference r:id="rId5" w:type="default"/>
          <w:footerReference r:id="rId6" w:type="default"/>
          <w:pgSz w:w="11907" w:h="16839"/>
          <w:pgMar w:top="1431" w:right="1785" w:bottom="1374" w:left="1785" w:header="0" w:footer="1212" w:gutter="0"/>
          <w:pgNumType w:fmt="decimal"/>
          <w:cols w:space="720" w:num="1"/>
        </w:sectPr>
      </w:pPr>
    </w:p>
    <w:p w14:paraId="556B9647">
      <w:pPr>
        <w:spacing w:before="86" w:line="226" w:lineRule="auto"/>
        <w:ind w:left="3456"/>
        <w:outlineLvl w:val="0"/>
        <w:rPr>
          <w:rFonts w:ascii="宋体" w:hAnsi="宋体" w:eastAsia="宋体" w:cs="宋体"/>
          <w:sz w:val="43"/>
          <w:szCs w:val="43"/>
        </w:rPr>
      </w:pPr>
      <w:r>
        <w:rPr>
          <w:rFonts w:ascii="宋体" w:hAnsi="宋体" w:eastAsia="宋体" w:cs="宋体"/>
          <w:b/>
          <w:bCs/>
          <w:spacing w:val="-51"/>
          <w:sz w:val="43"/>
          <w:szCs w:val="43"/>
        </w:rPr>
        <w:t>目</w:t>
      </w:r>
      <w:r>
        <w:rPr>
          <w:rFonts w:ascii="宋体" w:hAnsi="宋体" w:eastAsia="宋体" w:cs="宋体"/>
          <w:spacing w:val="11"/>
          <w:sz w:val="43"/>
          <w:szCs w:val="43"/>
        </w:rPr>
        <w:t xml:space="preserve">    </w:t>
      </w:r>
      <w:r>
        <w:rPr>
          <w:rFonts w:ascii="宋体" w:hAnsi="宋体" w:eastAsia="宋体" w:cs="宋体"/>
          <w:b/>
          <w:bCs/>
          <w:spacing w:val="-51"/>
          <w:sz w:val="43"/>
          <w:szCs w:val="43"/>
        </w:rPr>
        <w:t>录</w:t>
      </w:r>
    </w:p>
    <w:p w14:paraId="5D8DF1B7">
      <w:pPr>
        <w:spacing w:line="262" w:lineRule="auto"/>
        <w:rPr>
          <w:rFonts w:ascii="Arial"/>
          <w:sz w:val="21"/>
        </w:rPr>
      </w:pPr>
    </w:p>
    <w:p w14:paraId="6CB77089">
      <w:pPr>
        <w:spacing w:line="262" w:lineRule="auto"/>
        <w:rPr>
          <w:rFonts w:ascii="Arial"/>
          <w:sz w:val="21"/>
        </w:rPr>
      </w:pPr>
    </w:p>
    <w:p w14:paraId="63B073D1">
      <w:pPr>
        <w:spacing w:line="262" w:lineRule="auto"/>
        <w:rPr>
          <w:rFonts w:ascii="Arial"/>
          <w:sz w:val="21"/>
        </w:rPr>
      </w:pPr>
    </w:p>
    <w:p w14:paraId="7CE19625">
      <w:pPr>
        <w:pStyle w:val="2"/>
        <w:spacing w:before="91" w:line="218" w:lineRule="auto"/>
        <w:ind w:left="83"/>
      </w:pPr>
      <w:r>
        <w:rPr>
          <w:b/>
          <w:bCs/>
          <w:spacing w:val="-4"/>
        </w:rPr>
        <w:t>第一部分</w:t>
      </w:r>
      <w:r>
        <w:rPr>
          <w:spacing w:val="-4"/>
        </w:rPr>
        <w:t xml:space="preserve">  </w:t>
      </w:r>
      <w:r>
        <w:rPr>
          <w:b/>
          <w:bCs/>
          <w:spacing w:val="-4"/>
        </w:rPr>
        <w:t>部门基本概况</w:t>
      </w:r>
    </w:p>
    <w:p w14:paraId="2AB8DCA7">
      <w:pPr>
        <w:pStyle w:val="2"/>
        <w:spacing w:before="228" w:line="218" w:lineRule="auto"/>
        <w:ind w:left="73"/>
      </w:pPr>
      <w:r>
        <w:rPr>
          <w:spacing w:val="-7"/>
        </w:rPr>
        <w:t>一、</w:t>
      </w:r>
      <w:r>
        <w:rPr>
          <w:spacing w:val="21"/>
        </w:rPr>
        <w:t xml:space="preserve"> </w:t>
      </w:r>
      <w:r>
        <w:rPr>
          <w:spacing w:val="-7"/>
        </w:rPr>
        <w:t>部门职责</w:t>
      </w:r>
    </w:p>
    <w:p w14:paraId="02755F07">
      <w:pPr>
        <w:pStyle w:val="2"/>
        <w:spacing w:before="231" w:line="219" w:lineRule="auto"/>
        <w:ind w:left="78"/>
      </w:pPr>
      <w:r>
        <w:rPr>
          <w:spacing w:val="-3"/>
        </w:rPr>
        <w:t>二、 机构设置情况</w:t>
      </w:r>
    </w:p>
    <w:p w14:paraId="78761828">
      <w:pPr>
        <w:pStyle w:val="2"/>
        <w:spacing w:before="227" w:line="218" w:lineRule="auto"/>
        <w:ind w:left="83"/>
      </w:pPr>
      <w:r>
        <w:rPr>
          <w:b/>
          <w:bCs/>
          <w:spacing w:val="-5"/>
        </w:rPr>
        <w:t>第二部分</w:t>
      </w:r>
      <w:r>
        <w:rPr>
          <w:spacing w:val="-5"/>
        </w:rPr>
        <w:t xml:space="preserve"> </w:t>
      </w:r>
      <w:r>
        <w:rPr>
          <w:b/>
          <w:bCs/>
          <w:spacing w:val="-5"/>
        </w:rPr>
        <w:t>202</w:t>
      </w:r>
      <w:r>
        <w:rPr>
          <w:rFonts w:hint="eastAsia"/>
          <w:b/>
          <w:bCs/>
          <w:spacing w:val="-5"/>
          <w:lang w:val="en-US" w:eastAsia="zh-CN"/>
        </w:rPr>
        <w:t>6</w:t>
      </w:r>
      <w:r>
        <w:rPr>
          <w:spacing w:val="-42"/>
        </w:rPr>
        <w:t xml:space="preserve"> </w:t>
      </w:r>
      <w:r>
        <w:rPr>
          <w:b/>
          <w:bCs/>
          <w:spacing w:val="-5"/>
        </w:rPr>
        <w:t>年部门预算情况说明</w:t>
      </w:r>
    </w:p>
    <w:p w14:paraId="448E3700">
      <w:pPr>
        <w:pStyle w:val="2"/>
        <w:spacing w:before="228" w:line="219" w:lineRule="auto"/>
        <w:ind w:left="76"/>
      </w:pPr>
      <w:r>
        <w:rPr>
          <w:spacing w:val="-8"/>
        </w:rPr>
        <w:t>三、</w:t>
      </w:r>
      <w:r>
        <w:rPr>
          <w:spacing w:val="39"/>
        </w:rPr>
        <w:t xml:space="preserve"> </w:t>
      </w:r>
      <w:r>
        <w:rPr>
          <w:spacing w:val="-8"/>
        </w:rPr>
        <w:t>收支总体情况</w:t>
      </w:r>
    </w:p>
    <w:p w14:paraId="71D148CE">
      <w:pPr>
        <w:pStyle w:val="2"/>
        <w:spacing w:before="231" w:line="218" w:lineRule="auto"/>
        <w:ind w:left="102"/>
      </w:pPr>
      <w:r>
        <w:rPr>
          <w:spacing w:val="-6"/>
        </w:rPr>
        <w:t>四、一般公共预算情况</w:t>
      </w:r>
    </w:p>
    <w:p w14:paraId="04269CF3">
      <w:pPr>
        <w:pStyle w:val="2"/>
        <w:spacing w:before="228" w:line="218" w:lineRule="auto"/>
        <w:ind w:left="73"/>
      </w:pPr>
      <w:r>
        <w:rPr>
          <w:spacing w:val="-1"/>
        </w:rPr>
        <w:t>五、一般公共预算财政拨款“三公”经费、培训费、会议费等情况</w:t>
      </w:r>
    </w:p>
    <w:p w14:paraId="1FA83A6D">
      <w:pPr>
        <w:pStyle w:val="2"/>
        <w:spacing w:before="229" w:line="217" w:lineRule="auto"/>
        <w:ind w:left="71"/>
      </w:pPr>
      <w:r>
        <w:rPr>
          <w:spacing w:val="-1"/>
        </w:rPr>
        <w:t>六、一般公共预算财政拨款机关运行经费情况</w:t>
      </w:r>
    </w:p>
    <w:p w14:paraId="4200B2CD">
      <w:pPr>
        <w:pStyle w:val="2"/>
        <w:spacing w:before="232" w:line="219" w:lineRule="auto"/>
        <w:ind w:left="74"/>
      </w:pPr>
      <w:r>
        <w:rPr>
          <w:spacing w:val="-3"/>
        </w:rPr>
        <w:t>七、政府采购安排情况</w:t>
      </w:r>
    </w:p>
    <w:p w14:paraId="618B8BDA">
      <w:pPr>
        <w:pStyle w:val="2"/>
        <w:spacing w:before="227" w:line="219" w:lineRule="auto"/>
        <w:ind w:left="68"/>
      </w:pPr>
      <w:r>
        <w:rPr>
          <w:spacing w:val="-2"/>
        </w:rPr>
        <w:t>八、国有资产占用情况</w:t>
      </w:r>
    </w:p>
    <w:p w14:paraId="7C543583">
      <w:pPr>
        <w:pStyle w:val="2"/>
        <w:spacing w:before="227" w:line="218" w:lineRule="auto"/>
        <w:ind w:left="79"/>
      </w:pPr>
      <w:r>
        <w:rPr>
          <w:spacing w:val="-3"/>
        </w:rPr>
        <w:t>九、其他重要事项情况说明</w:t>
      </w:r>
    </w:p>
    <w:p w14:paraId="4A470C47">
      <w:pPr>
        <w:pStyle w:val="2"/>
        <w:spacing w:before="231" w:line="218" w:lineRule="auto"/>
        <w:ind w:left="76"/>
      </w:pPr>
      <w:r>
        <w:rPr>
          <w:spacing w:val="-3"/>
        </w:rPr>
        <w:t>十、预算绩效管理情况</w:t>
      </w:r>
    </w:p>
    <w:p w14:paraId="75558150">
      <w:pPr>
        <w:pStyle w:val="2"/>
        <w:spacing w:before="229" w:line="219" w:lineRule="auto"/>
        <w:ind w:left="76"/>
      </w:pPr>
      <w:r>
        <w:rPr>
          <w:spacing w:val="-6"/>
        </w:rPr>
        <w:t>十一、名词解释</w:t>
      </w:r>
    </w:p>
    <w:p w14:paraId="687BEC17">
      <w:pPr>
        <w:pStyle w:val="2"/>
        <w:spacing w:before="227" w:line="218" w:lineRule="auto"/>
        <w:ind w:left="83"/>
      </w:pPr>
      <w:r>
        <w:rPr>
          <w:b/>
          <w:bCs/>
          <w:spacing w:val="-5"/>
        </w:rPr>
        <w:t>第三部分</w:t>
      </w:r>
      <w:r>
        <w:rPr>
          <w:spacing w:val="-5"/>
        </w:rPr>
        <w:t xml:space="preserve"> </w:t>
      </w:r>
      <w:r>
        <w:rPr>
          <w:b/>
          <w:bCs/>
          <w:spacing w:val="-5"/>
        </w:rPr>
        <w:t>202</w:t>
      </w:r>
      <w:r>
        <w:rPr>
          <w:rFonts w:hint="eastAsia"/>
          <w:b/>
          <w:bCs/>
          <w:spacing w:val="-5"/>
          <w:lang w:val="en-US" w:eastAsia="zh-CN"/>
        </w:rPr>
        <w:t>6</w:t>
      </w:r>
      <w:r>
        <w:rPr>
          <w:spacing w:val="-45"/>
        </w:rPr>
        <w:t xml:space="preserve"> </w:t>
      </w:r>
      <w:r>
        <w:rPr>
          <w:b/>
          <w:bCs/>
          <w:spacing w:val="-5"/>
        </w:rPr>
        <w:t>年部门预算公开表</w:t>
      </w:r>
    </w:p>
    <w:p w14:paraId="47B5CB1A">
      <w:pPr>
        <w:pStyle w:val="2"/>
        <w:spacing w:before="231" w:line="218" w:lineRule="auto"/>
        <w:ind w:left="73"/>
      </w:pPr>
      <w:r>
        <w:rPr>
          <w:spacing w:val="-4"/>
        </w:rPr>
        <w:t>一、部门收支总体情况表</w:t>
      </w:r>
    </w:p>
    <w:p w14:paraId="7435A1CA">
      <w:pPr>
        <w:pStyle w:val="2"/>
        <w:spacing w:before="229" w:line="218" w:lineRule="auto"/>
        <w:ind w:left="78"/>
      </w:pPr>
      <w:r>
        <w:rPr>
          <w:spacing w:val="-3"/>
        </w:rPr>
        <w:t>二、部门收入总体情况表</w:t>
      </w:r>
    </w:p>
    <w:p w14:paraId="422134CC">
      <w:pPr>
        <w:pStyle w:val="2"/>
        <w:spacing w:before="228" w:line="218" w:lineRule="auto"/>
        <w:ind w:left="76"/>
      </w:pPr>
      <w:r>
        <w:rPr>
          <w:spacing w:val="-3"/>
        </w:rPr>
        <w:t>三、部门支出总体情况表</w:t>
      </w:r>
    </w:p>
    <w:p w14:paraId="18536F6D">
      <w:pPr>
        <w:pStyle w:val="2"/>
        <w:spacing w:before="231" w:line="219" w:lineRule="auto"/>
        <w:ind w:left="102"/>
      </w:pPr>
      <w:r>
        <w:rPr>
          <w:spacing w:val="-4"/>
        </w:rPr>
        <w:t>四、财政拨款收支总体情况表</w:t>
      </w:r>
    </w:p>
    <w:p w14:paraId="1023395C">
      <w:pPr>
        <w:pStyle w:val="2"/>
        <w:spacing w:before="228" w:line="219" w:lineRule="auto"/>
        <w:ind w:left="73"/>
      </w:pPr>
      <w:r>
        <w:rPr>
          <w:spacing w:val="-3"/>
        </w:rPr>
        <w:t>五、财政拨款支出表</w:t>
      </w:r>
    </w:p>
    <w:p w14:paraId="0A81BFF9">
      <w:pPr>
        <w:pStyle w:val="2"/>
        <w:spacing w:before="227" w:line="218" w:lineRule="auto"/>
        <w:ind w:left="71"/>
      </w:pPr>
      <w:r>
        <w:rPr>
          <w:spacing w:val="-2"/>
        </w:rPr>
        <w:t>六、一般公共预算支出情况表</w:t>
      </w:r>
    </w:p>
    <w:p w14:paraId="2AACB895">
      <w:pPr>
        <w:pStyle w:val="2"/>
        <w:spacing w:before="231" w:line="218" w:lineRule="auto"/>
        <w:ind w:left="74"/>
      </w:pPr>
      <w:r>
        <w:rPr>
          <w:spacing w:val="-2"/>
        </w:rPr>
        <w:t>七、一般公共预算基本支出情况表</w:t>
      </w:r>
    </w:p>
    <w:p w14:paraId="5D498F02">
      <w:pPr>
        <w:pStyle w:val="2"/>
        <w:spacing w:before="229" w:line="218" w:lineRule="auto"/>
        <w:jc w:val="right"/>
      </w:pPr>
      <w:r>
        <w:rPr>
          <w:spacing w:val="-1"/>
        </w:rPr>
        <w:t>八、一般公共预算财政拨款“三公”经费、会议费、培训费支出情况表</w:t>
      </w:r>
    </w:p>
    <w:p w14:paraId="423CBEB3">
      <w:pPr>
        <w:pStyle w:val="2"/>
        <w:spacing w:before="229" w:line="217" w:lineRule="auto"/>
        <w:ind w:left="79"/>
      </w:pPr>
      <w:r>
        <w:rPr>
          <w:spacing w:val="-2"/>
        </w:rPr>
        <w:t>九、一般公共预算财政拨款机关运行经费表</w:t>
      </w:r>
    </w:p>
    <w:p w14:paraId="07DD5BB1">
      <w:pPr>
        <w:spacing w:line="217" w:lineRule="auto"/>
        <w:sectPr>
          <w:footerReference r:id="rId7" w:type="default"/>
          <w:pgSz w:w="11907" w:h="16839"/>
          <w:pgMar w:top="1195" w:right="1390" w:bottom="1375" w:left="1785" w:header="0" w:footer="1212" w:gutter="0"/>
          <w:pgNumType w:fmt="decimal"/>
          <w:cols w:space="720" w:num="1"/>
        </w:sectPr>
      </w:pPr>
    </w:p>
    <w:p w14:paraId="73D83688">
      <w:pPr>
        <w:pStyle w:val="2"/>
        <w:spacing w:before="56" w:line="216" w:lineRule="auto"/>
        <w:ind w:left="76"/>
      </w:pPr>
      <w:r>
        <w:rPr>
          <w:spacing w:val="-2"/>
        </w:rPr>
        <w:t>十、政府性基金预算支出情况表</w:t>
      </w:r>
    </w:p>
    <w:p w14:paraId="19500724">
      <w:pPr>
        <w:pStyle w:val="2"/>
        <w:spacing w:before="233" w:line="215" w:lineRule="auto"/>
        <w:ind w:left="76"/>
      </w:pPr>
      <w:r>
        <w:rPr>
          <w:spacing w:val="-4"/>
        </w:rPr>
        <w:t>十一、部门管理转移支付表</w:t>
      </w:r>
    </w:p>
    <w:p w14:paraId="27100136">
      <w:pPr>
        <w:pStyle w:val="2"/>
        <w:spacing w:before="232" w:line="218" w:lineRule="auto"/>
        <w:ind w:left="76"/>
      </w:pPr>
      <w:r>
        <w:rPr>
          <w:spacing w:val="-2"/>
        </w:rPr>
        <w:t>十二、国有资本经营预算支出情况表</w:t>
      </w:r>
    </w:p>
    <w:p w14:paraId="4BF0E2C9">
      <w:pPr>
        <w:pStyle w:val="2"/>
        <w:spacing w:before="229" w:line="218" w:lineRule="auto"/>
        <w:ind w:left="76"/>
      </w:pPr>
      <w:r>
        <w:rPr>
          <w:spacing w:val="-1"/>
        </w:rPr>
        <w:t>十三、部门整体支出绩效目标表和项目支出绩效</w:t>
      </w:r>
      <w:r>
        <w:rPr>
          <w:spacing w:val="-2"/>
        </w:rPr>
        <w:t>目标表</w:t>
      </w:r>
    </w:p>
    <w:p w14:paraId="43747906">
      <w:pPr>
        <w:spacing w:line="218" w:lineRule="auto"/>
        <w:sectPr>
          <w:footerReference r:id="rId8" w:type="default"/>
          <w:pgSz w:w="11907" w:h="16839"/>
          <w:pgMar w:top="1284" w:right="1785" w:bottom="1375" w:left="1785" w:header="0" w:footer="1212" w:gutter="0"/>
          <w:pgNumType w:fmt="decimal"/>
          <w:cols w:space="720" w:num="1"/>
        </w:sectPr>
      </w:pPr>
    </w:p>
    <w:p w14:paraId="00F0408A">
      <w:pPr>
        <w:pStyle w:val="2"/>
        <w:spacing w:before="55" w:line="218" w:lineRule="auto"/>
        <w:ind w:left="566"/>
      </w:pPr>
      <w:r>
        <w:rPr>
          <w:b/>
          <w:bCs/>
          <w:spacing w:val="-14"/>
        </w:rPr>
        <w:t>前</w:t>
      </w:r>
      <w:r>
        <w:rPr>
          <w:spacing w:val="24"/>
        </w:rPr>
        <w:t xml:space="preserve"> </w:t>
      </w:r>
      <w:r>
        <w:rPr>
          <w:b/>
          <w:bCs/>
          <w:spacing w:val="-14"/>
        </w:rPr>
        <w:t>言</w:t>
      </w:r>
    </w:p>
    <w:p w14:paraId="5539630A">
      <w:pPr>
        <w:pStyle w:val="2"/>
        <w:spacing w:before="269" w:line="388" w:lineRule="auto"/>
        <w:ind w:right="92" w:firstLine="559"/>
        <w:jc w:val="both"/>
      </w:pPr>
      <w:r>
        <w:rPr>
          <w:spacing w:val="3"/>
        </w:rPr>
        <w:t>按照《中华人民共和国预算法》《中华人民共和国预算法实施条例》以及</w:t>
      </w:r>
      <w:r>
        <w:t xml:space="preserve"> </w:t>
      </w:r>
      <w:r>
        <w:rPr>
          <w:spacing w:val="3"/>
        </w:rPr>
        <w:t>财政部《地方预决算公开操作规程》《关于推进部</w:t>
      </w:r>
      <w:r>
        <w:rPr>
          <w:spacing w:val="2"/>
        </w:rPr>
        <w:t>门所属单位预算公开的指导</w:t>
      </w:r>
      <w:r>
        <w:t xml:space="preserve"> </w:t>
      </w:r>
      <w:r>
        <w:rPr>
          <w:spacing w:val="-1"/>
        </w:rPr>
        <w:t>意见》和《中共甘肃省委办公厅 甘肃省人民政府办公厅关于进</w:t>
      </w:r>
      <w:r>
        <w:rPr>
          <w:spacing w:val="-2"/>
        </w:rPr>
        <w:t>一步推进预算公</w:t>
      </w:r>
      <w:r>
        <w:t xml:space="preserve"> </w:t>
      </w:r>
      <w:r>
        <w:rPr>
          <w:spacing w:val="-3"/>
        </w:rPr>
        <w:t>开工作的实施方案》要求，现将</w:t>
      </w:r>
      <w:r>
        <w:rPr>
          <w:spacing w:val="-55"/>
        </w:rPr>
        <w:t xml:space="preserve"> </w:t>
      </w:r>
      <w:r>
        <w:rPr>
          <w:spacing w:val="-3"/>
        </w:rPr>
        <w:t>202</w:t>
      </w:r>
      <w:r>
        <w:rPr>
          <w:rFonts w:hint="eastAsia"/>
          <w:spacing w:val="-3"/>
          <w:lang w:val="en-US" w:eastAsia="zh-CN"/>
        </w:rPr>
        <w:t>6</w:t>
      </w:r>
      <w:r>
        <w:rPr>
          <w:spacing w:val="-48"/>
        </w:rPr>
        <w:t xml:space="preserve"> </w:t>
      </w:r>
      <w:r>
        <w:rPr>
          <w:spacing w:val="-3"/>
        </w:rPr>
        <w:t>年部门预算公开</w:t>
      </w:r>
      <w:r>
        <w:rPr>
          <w:spacing w:val="-4"/>
        </w:rPr>
        <w:t>如下：</w:t>
      </w:r>
    </w:p>
    <w:p w14:paraId="564FBCCC">
      <w:pPr>
        <w:pStyle w:val="2"/>
        <w:spacing w:before="45" w:line="218" w:lineRule="auto"/>
        <w:ind w:left="567"/>
        <w:outlineLvl w:val="1"/>
      </w:pPr>
      <w:r>
        <w:rPr>
          <w:b/>
          <w:bCs/>
          <w:spacing w:val="-10"/>
        </w:rPr>
        <w:t>一、</w:t>
      </w:r>
      <w:r>
        <w:rPr>
          <w:rFonts w:hint="eastAsia"/>
          <w:b/>
          <w:bCs/>
          <w:spacing w:val="-10"/>
          <w:lang w:val="en-US" w:eastAsia="zh-CN"/>
        </w:rPr>
        <w:t>单位</w:t>
      </w:r>
      <w:r>
        <w:rPr>
          <w:b/>
          <w:bCs/>
          <w:spacing w:val="-10"/>
        </w:rPr>
        <w:t>职责</w:t>
      </w:r>
    </w:p>
    <w:p w14:paraId="2E206847">
      <w:pPr>
        <w:pStyle w:val="2"/>
        <w:keepNext w:val="0"/>
        <w:keepLines w:val="0"/>
        <w:pageBreakBefore w:val="0"/>
        <w:widowControl/>
        <w:kinsoku w:val="0"/>
        <w:wordWrap/>
        <w:overflowPunct w:val="0"/>
        <w:topLinePunct w:val="0"/>
        <w:autoSpaceDE w:val="0"/>
        <w:autoSpaceDN w:val="0"/>
        <w:bidi w:val="0"/>
        <w:adjustRightInd w:val="0"/>
        <w:snapToGrid w:val="0"/>
        <w:spacing w:before="269" w:line="389" w:lineRule="auto"/>
        <w:ind w:right="91" w:firstLine="561"/>
        <w:jc w:val="both"/>
        <w:textAlignment w:val="auto"/>
        <w:rPr>
          <w:rFonts w:hint="eastAsia"/>
          <w:spacing w:val="3"/>
          <w:lang w:val="en-US" w:eastAsia="en-US"/>
        </w:rPr>
      </w:pPr>
      <w:r>
        <w:rPr>
          <w:rFonts w:hint="eastAsia"/>
          <w:spacing w:val="3"/>
          <w:lang w:val="en-US" w:eastAsia="en-US"/>
        </w:rPr>
        <w:t>（1）学习宣传、贯彻执行国家和省、市关于地方志工作的法规。政策和部署安排，并结合全县实际监督实施（2）主管全县地方志工作，组织、指导、督促和检查地方志工作的开展，管理政府行为范围内的部门志、行业志和专业志书的编纂；（3）拟定我县地方志工作规划、年度计划、业务规范和编纂方案，并组织实施；（4）组织修编（续编）《环县志》、负责编纂《环县综合年鉴》；（5）按照地方志工作规划（计划）和编纂方案，向机关、社会团体、企事业单位、其他组织以及个人征集有关地方志书和地方综合年鉴的资料；（6）组织评议、审定环县志书、地方综合年鉴文稿和有关地方史志稿件；（7）集中统一管理地方志和综合年鉴编纂过程中收集的文字资料、图表、照片、音像资料、实物和电子存储以及形成的相关文稿，负责收集和保存有关地方史志文献；（8）组织培训地方志编纂人员，开展地方志理论、业务研究和学术交流活动；（9）整理旧志，开展地方志资源的开发利用，宣传推广地方志成果，为公众读志用志提供咨询服务，为全县经济社会发展服。    </w:t>
      </w:r>
    </w:p>
    <w:p w14:paraId="289FF566">
      <w:pPr>
        <w:pStyle w:val="2"/>
        <w:spacing w:before="77" w:line="219" w:lineRule="auto"/>
        <w:ind w:left="571"/>
        <w:outlineLvl w:val="1"/>
      </w:pPr>
      <w:r>
        <w:rPr>
          <w:b/>
          <w:bCs/>
          <w:spacing w:val="-6"/>
        </w:rPr>
        <w:t>二、机构设置情况</w:t>
      </w:r>
    </w:p>
    <w:p w14:paraId="16DD35C7">
      <w:pPr>
        <w:pStyle w:val="2"/>
        <w:spacing w:before="236" w:line="219" w:lineRule="auto"/>
        <w:ind w:left="563"/>
        <w:outlineLvl w:val="2"/>
        <w:rPr>
          <w:b/>
          <w:bCs/>
          <w:spacing w:val="-7"/>
        </w:rPr>
      </w:pPr>
      <w:r>
        <w:rPr>
          <w:b/>
          <w:bCs/>
          <w:spacing w:val="-7"/>
        </w:rPr>
        <w:t>（一）机关内设机构</w:t>
      </w:r>
    </w:p>
    <w:p w14:paraId="6DBBE609">
      <w:pPr>
        <w:keepNext w:val="0"/>
        <w:keepLines w:val="0"/>
        <w:pageBreakBefore w:val="0"/>
        <w:kinsoku/>
        <w:wordWrap w:val="0"/>
        <w:overflowPunct/>
        <w:topLinePunct w:val="0"/>
        <w:autoSpaceDE/>
        <w:autoSpaceDN/>
        <w:bidi w:val="0"/>
        <w:adjustRightInd/>
        <w:snapToGrid/>
        <w:spacing w:before="86" w:line="560" w:lineRule="exact"/>
        <w:ind w:right="114" w:firstLine="572" w:firstLineChars="200"/>
        <w:jc w:val="left"/>
        <w:textAlignment w:val="auto"/>
        <w:rPr>
          <w:rFonts w:hint="eastAsia" w:ascii="仿宋" w:hAnsi="仿宋" w:eastAsia="仿宋" w:cs="仿宋"/>
          <w:snapToGrid w:val="0"/>
          <w:color w:val="000000"/>
          <w:spacing w:val="3"/>
          <w:kern w:val="0"/>
          <w:sz w:val="28"/>
          <w:szCs w:val="28"/>
          <w:lang w:val="en-US" w:eastAsia="en-US" w:bidi="ar-SA"/>
        </w:rPr>
      </w:pPr>
      <w:r>
        <w:rPr>
          <w:rFonts w:hint="eastAsia" w:ascii="仿宋" w:hAnsi="仿宋" w:eastAsia="仿宋" w:cs="仿宋"/>
          <w:snapToGrid w:val="0"/>
          <w:color w:val="000000"/>
          <w:spacing w:val="3"/>
          <w:kern w:val="0"/>
          <w:sz w:val="28"/>
          <w:szCs w:val="28"/>
          <w:lang w:val="en-US" w:eastAsia="zh-CN" w:bidi="ar-SA"/>
        </w:rPr>
        <w:t>地志办共</w:t>
      </w:r>
      <w:r>
        <w:rPr>
          <w:rFonts w:hint="eastAsia" w:ascii="仿宋" w:hAnsi="仿宋" w:eastAsia="仿宋" w:cs="仿宋"/>
          <w:snapToGrid w:val="0"/>
          <w:color w:val="000000"/>
          <w:spacing w:val="3"/>
          <w:kern w:val="0"/>
          <w:sz w:val="28"/>
          <w:szCs w:val="28"/>
          <w:lang w:val="en-US" w:eastAsia="en-US" w:bidi="ar-SA"/>
        </w:rPr>
        <w:t>设</w:t>
      </w:r>
      <w:r>
        <w:rPr>
          <w:rFonts w:hint="eastAsia" w:ascii="仿宋" w:hAnsi="仿宋" w:eastAsia="仿宋" w:cs="仿宋"/>
          <w:snapToGrid w:val="0"/>
          <w:color w:val="000000"/>
          <w:spacing w:val="3"/>
          <w:kern w:val="0"/>
          <w:sz w:val="28"/>
          <w:szCs w:val="28"/>
          <w:lang w:val="en-US" w:eastAsia="zh-CN" w:bidi="ar-SA"/>
        </w:rPr>
        <w:t>机构数1个。</w:t>
      </w:r>
    </w:p>
    <w:p w14:paraId="020371D8">
      <w:pPr>
        <w:pStyle w:val="2"/>
        <w:spacing w:before="262" w:line="217" w:lineRule="auto"/>
        <w:ind w:left="563"/>
        <w:outlineLvl w:val="2"/>
        <w:rPr>
          <w:b/>
          <w:bCs/>
          <w:spacing w:val="-5"/>
        </w:rPr>
      </w:pPr>
      <w:r>
        <w:rPr>
          <w:b/>
          <w:bCs/>
          <w:spacing w:val="-5"/>
        </w:rPr>
        <w:t>（二）参照公务员法管理单位</w:t>
      </w:r>
    </w:p>
    <w:p w14:paraId="7518B69F">
      <w:pPr>
        <w:pStyle w:val="2"/>
        <w:keepNext w:val="0"/>
        <w:keepLines w:val="0"/>
        <w:pageBreakBefore w:val="0"/>
        <w:widowControl/>
        <w:kinsoku w:val="0"/>
        <w:wordWrap/>
        <w:overflowPunct w:val="0"/>
        <w:topLinePunct w:val="0"/>
        <w:autoSpaceDE w:val="0"/>
        <w:autoSpaceDN w:val="0"/>
        <w:bidi w:val="0"/>
        <w:adjustRightInd w:val="0"/>
        <w:snapToGrid w:val="0"/>
        <w:spacing w:before="269" w:line="389" w:lineRule="auto"/>
        <w:ind w:right="91" w:firstLine="572" w:firstLineChars="200"/>
        <w:jc w:val="both"/>
        <w:textAlignment w:val="auto"/>
        <w:rPr>
          <w:rFonts w:hint="eastAsia"/>
          <w:spacing w:val="3"/>
          <w:lang w:val="en-US" w:eastAsia="zh-CN"/>
        </w:rPr>
      </w:pPr>
      <w:r>
        <w:rPr>
          <w:rFonts w:hint="eastAsia"/>
          <w:spacing w:val="3"/>
          <w:lang w:val="en-US" w:eastAsia="zh-CN"/>
        </w:rPr>
        <w:t>无</w:t>
      </w:r>
    </w:p>
    <w:p w14:paraId="17F237F8">
      <w:pPr>
        <w:pStyle w:val="2"/>
        <w:spacing w:before="44" w:line="217" w:lineRule="auto"/>
        <w:ind w:left="563"/>
        <w:outlineLvl w:val="2"/>
      </w:pPr>
      <w:r>
        <w:rPr>
          <w:b/>
          <w:bCs/>
          <w:spacing w:val="-6"/>
        </w:rPr>
        <w:t>（三）直属事业单位</w:t>
      </w:r>
    </w:p>
    <w:p w14:paraId="3D52CF8E">
      <w:pPr>
        <w:pStyle w:val="2"/>
        <w:spacing w:before="232" w:line="353" w:lineRule="auto"/>
        <w:ind w:left="37" w:right="95" w:firstLine="523"/>
      </w:pPr>
      <w:r>
        <w:rPr>
          <w:rFonts w:hint="eastAsia"/>
          <w:spacing w:val="3"/>
          <w:lang w:val="en-US" w:eastAsia="zh-CN"/>
        </w:rPr>
        <w:t>无</w:t>
      </w:r>
    </w:p>
    <w:p w14:paraId="56491A99">
      <w:pPr>
        <w:pStyle w:val="2"/>
        <w:numPr>
          <w:ilvl w:val="0"/>
          <w:numId w:val="1"/>
        </w:numPr>
        <w:spacing w:before="80" w:line="218" w:lineRule="auto"/>
        <w:ind w:left="570"/>
        <w:outlineLvl w:val="1"/>
        <w:rPr>
          <w:b/>
          <w:bCs/>
          <w:spacing w:val="-5"/>
        </w:rPr>
      </w:pPr>
      <w:r>
        <w:rPr>
          <w:b/>
          <w:bCs/>
          <w:spacing w:val="-5"/>
        </w:rPr>
        <w:t>部门收支总体情况</w:t>
      </w:r>
    </w:p>
    <w:p w14:paraId="314C55DC">
      <w:pPr>
        <w:pStyle w:val="2"/>
        <w:keepNext w:val="0"/>
        <w:keepLines w:val="0"/>
        <w:pageBreakBefore w:val="0"/>
        <w:widowControl/>
        <w:kinsoku w:val="0"/>
        <w:wordWrap/>
        <w:overflowPunct w:val="0"/>
        <w:topLinePunct w:val="0"/>
        <w:autoSpaceDE w:val="0"/>
        <w:autoSpaceDN w:val="0"/>
        <w:bidi w:val="0"/>
        <w:adjustRightInd w:val="0"/>
        <w:snapToGrid w:val="0"/>
        <w:spacing w:before="269" w:line="360" w:lineRule="auto"/>
        <w:ind w:right="91" w:firstLine="561"/>
        <w:jc w:val="both"/>
        <w:textAlignment w:val="auto"/>
        <w:rPr>
          <w:rFonts w:hint="eastAsia"/>
          <w:spacing w:val="3"/>
          <w:lang w:val="en-US" w:eastAsia="en-US"/>
        </w:rPr>
      </w:pPr>
      <w:r>
        <w:rPr>
          <w:rFonts w:hint="eastAsia"/>
          <w:spacing w:val="3"/>
          <w:lang w:val="en-US" w:eastAsia="en-US"/>
        </w:rPr>
        <w:t>202</w:t>
      </w:r>
      <w:r>
        <w:rPr>
          <w:rFonts w:hint="eastAsia"/>
          <w:spacing w:val="3"/>
          <w:lang w:val="en-US" w:eastAsia="zh-CN"/>
        </w:rPr>
        <w:t>6</w:t>
      </w:r>
      <w:r>
        <w:rPr>
          <w:rFonts w:hint="eastAsia"/>
          <w:spacing w:val="3"/>
          <w:lang w:val="en-US" w:eastAsia="en-US"/>
        </w:rPr>
        <w:t xml:space="preserve"> 年部门收支总预算</w:t>
      </w:r>
      <w:r>
        <w:rPr>
          <w:rFonts w:hint="eastAsia"/>
          <w:spacing w:val="3"/>
          <w:lang w:val="en-US" w:eastAsia="zh-CN"/>
        </w:rPr>
        <w:t>105.38</w:t>
      </w:r>
      <w:r>
        <w:rPr>
          <w:rFonts w:hint="eastAsia"/>
          <w:spacing w:val="3"/>
          <w:lang w:val="en-US" w:eastAsia="en-US"/>
        </w:rPr>
        <w:t>万元。按照综合预算的原则，</w:t>
      </w:r>
      <w:r>
        <w:rPr>
          <w:rFonts w:hint="eastAsia"/>
          <w:spacing w:val="3"/>
          <w:lang w:val="en-US" w:eastAsia="zh-CN"/>
        </w:rPr>
        <w:t>单位</w:t>
      </w:r>
      <w:r>
        <w:rPr>
          <w:rFonts w:hint="eastAsia"/>
          <w:spacing w:val="3"/>
          <w:lang w:val="en-US" w:eastAsia="en-US"/>
        </w:rPr>
        <w:t>所有收入和支出均纳入部门预算管理。收入包括：一般公共预算拨款收入、非财政性单位结转结余；支出包括：一般公共服务支出、社会保障和就业支出、卫生 健康支出、住房保障支出。</w:t>
      </w:r>
    </w:p>
    <w:p w14:paraId="6B40CAC4">
      <w:pPr>
        <w:pStyle w:val="2"/>
        <w:spacing w:before="79" w:line="218" w:lineRule="auto"/>
        <w:ind w:left="563"/>
        <w:outlineLvl w:val="2"/>
      </w:pPr>
      <w:r>
        <w:rPr>
          <w:b/>
          <w:bCs/>
          <w:spacing w:val="-6"/>
        </w:rPr>
        <w:t>（一）收入预算</w:t>
      </w:r>
    </w:p>
    <w:p w14:paraId="43594E8E">
      <w:pPr>
        <w:pStyle w:val="2"/>
        <w:spacing w:before="239" w:line="354" w:lineRule="auto"/>
        <w:ind w:left="564" w:right="554" w:hanging="9"/>
      </w:pPr>
      <w:r>
        <w:rPr>
          <w:spacing w:val="-8"/>
        </w:rPr>
        <w:t>202</w:t>
      </w:r>
      <w:r>
        <w:rPr>
          <w:rFonts w:hint="eastAsia"/>
          <w:spacing w:val="-8"/>
          <w:lang w:val="en-US" w:eastAsia="zh-CN"/>
        </w:rPr>
        <w:t>6</w:t>
      </w:r>
      <w:r>
        <w:rPr>
          <w:spacing w:val="-44"/>
        </w:rPr>
        <w:t xml:space="preserve"> </w:t>
      </w:r>
      <w:r>
        <w:rPr>
          <w:spacing w:val="-8"/>
        </w:rPr>
        <w:t>年收入预算</w:t>
      </w:r>
      <w:r>
        <w:rPr>
          <w:rFonts w:hint="eastAsia"/>
          <w:spacing w:val="3"/>
          <w:lang w:val="en-US" w:eastAsia="zh-CN"/>
        </w:rPr>
        <w:t>105.38</w:t>
      </w:r>
      <w:r>
        <w:rPr>
          <w:spacing w:val="-8"/>
        </w:rPr>
        <w:t>万元（详见部门预算公开表</w:t>
      </w:r>
      <w:r>
        <w:rPr>
          <w:spacing w:val="-39"/>
        </w:rPr>
        <w:t xml:space="preserve"> </w:t>
      </w:r>
      <w:r>
        <w:rPr>
          <w:spacing w:val="-8"/>
        </w:rPr>
        <w:t>1，2）。包括：</w:t>
      </w:r>
      <w:r>
        <w:t xml:space="preserve"> </w:t>
      </w:r>
      <w:r>
        <w:rPr>
          <w:spacing w:val="-3"/>
        </w:rPr>
        <w:t>一般公共预算收入</w:t>
      </w:r>
      <w:r>
        <w:rPr>
          <w:spacing w:val="-36"/>
        </w:rPr>
        <w:t xml:space="preserve"> </w:t>
      </w:r>
      <w:r>
        <w:rPr>
          <w:rFonts w:hint="eastAsia"/>
          <w:spacing w:val="3"/>
          <w:lang w:val="en-US" w:eastAsia="zh-CN"/>
        </w:rPr>
        <w:t>105.38</w:t>
      </w:r>
      <w:r>
        <w:rPr>
          <w:spacing w:val="-50"/>
        </w:rPr>
        <w:t xml:space="preserve"> </w:t>
      </w:r>
      <w:r>
        <w:rPr>
          <w:spacing w:val="-3"/>
        </w:rPr>
        <w:t>万元，占</w:t>
      </w:r>
      <w:r>
        <w:rPr>
          <w:spacing w:val="-62"/>
        </w:rPr>
        <w:t xml:space="preserve"> </w:t>
      </w:r>
      <w:r>
        <w:rPr>
          <w:rFonts w:hint="eastAsia"/>
          <w:spacing w:val="-3"/>
          <w:lang w:val="en-US" w:eastAsia="zh-CN"/>
        </w:rPr>
        <w:t>100</w:t>
      </w:r>
      <w:r>
        <w:rPr>
          <w:spacing w:val="-3"/>
        </w:rPr>
        <w:t>%；</w:t>
      </w:r>
    </w:p>
    <w:p w14:paraId="43E34F07">
      <w:pPr>
        <w:pStyle w:val="2"/>
        <w:keepNext/>
        <w:keepLines/>
        <w:pageBreakBefore w:val="0"/>
        <w:widowControl w:val="0"/>
        <w:kinsoku w:val="0"/>
        <w:wordWrap/>
        <w:overflowPunct/>
        <w:topLinePunct w:val="0"/>
        <w:autoSpaceDE w:val="0"/>
        <w:autoSpaceDN w:val="0"/>
        <w:bidi w:val="0"/>
        <w:adjustRightInd w:val="0"/>
        <w:snapToGrid w:val="0"/>
        <w:spacing w:line="356" w:lineRule="auto"/>
        <w:ind w:left="561"/>
        <w:textAlignment w:val="baseline"/>
        <w:rPr>
          <w:rFonts w:hint="eastAsia"/>
          <w:spacing w:val="-3"/>
          <w:lang w:eastAsia="zh-CN"/>
        </w:rPr>
      </w:pPr>
      <w:r>
        <w:rPr>
          <w:spacing w:val="-3"/>
        </w:rPr>
        <w:t>政府性基金预算收入</w:t>
      </w:r>
      <w:r>
        <w:rPr>
          <w:spacing w:val="-52"/>
        </w:rPr>
        <w:t xml:space="preserve"> </w:t>
      </w:r>
      <w:r>
        <w:rPr>
          <w:spacing w:val="-3"/>
        </w:rPr>
        <w:t>0.00</w:t>
      </w:r>
      <w:r>
        <w:rPr>
          <w:spacing w:val="-51"/>
        </w:rPr>
        <w:t xml:space="preserve"> </w:t>
      </w:r>
      <w:r>
        <w:rPr>
          <w:spacing w:val="-3"/>
        </w:rPr>
        <w:t>万元，占</w:t>
      </w:r>
      <w:r>
        <w:rPr>
          <w:spacing w:val="-58"/>
        </w:rPr>
        <w:t xml:space="preserve"> </w:t>
      </w:r>
      <w:r>
        <w:rPr>
          <w:spacing w:val="-3"/>
        </w:rPr>
        <w:t>0.0%</w:t>
      </w:r>
      <w:r>
        <w:rPr>
          <w:rFonts w:hint="eastAsia"/>
          <w:spacing w:val="-3"/>
          <w:lang w:eastAsia="zh-CN"/>
        </w:rPr>
        <w:t>；</w:t>
      </w:r>
    </w:p>
    <w:p w14:paraId="67B0A4BC">
      <w:pPr>
        <w:pStyle w:val="2"/>
        <w:keepNext/>
        <w:keepLines/>
        <w:pageBreakBefore w:val="0"/>
        <w:widowControl w:val="0"/>
        <w:kinsoku w:val="0"/>
        <w:wordWrap/>
        <w:overflowPunct/>
        <w:topLinePunct w:val="0"/>
        <w:autoSpaceDE w:val="0"/>
        <w:autoSpaceDN w:val="0"/>
        <w:bidi w:val="0"/>
        <w:adjustRightInd w:val="0"/>
        <w:snapToGrid w:val="0"/>
        <w:spacing w:line="356" w:lineRule="auto"/>
        <w:ind w:firstLine="544" w:firstLineChars="200"/>
        <w:textAlignment w:val="baseline"/>
        <w:rPr>
          <w:spacing w:val="-4"/>
        </w:rPr>
      </w:pPr>
      <w:r>
        <w:rPr>
          <w:spacing w:val="-4"/>
        </w:rPr>
        <w:t>其他收入</w:t>
      </w:r>
      <w:r>
        <w:rPr>
          <w:spacing w:val="-50"/>
        </w:rPr>
        <w:t xml:space="preserve"> </w:t>
      </w:r>
      <w:r>
        <w:rPr>
          <w:spacing w:val="-4"/>
        </w:rPr>
        <w:t>0.00</w:t>
      </w:r>
      <w:r>
        <w:rPr>
          <w:spacing w:val="-51"/>
        </w:rPr>
        <w:t xml:space="preserve"> </w:t>
      </w:r>
      <w:r>
        <w:rPr>
          <w:spacing w:val="-4"/>
        </w:rPr>
        <w:t>万元，占</w:t>
      </w:r>
      <w:r>
        <w:rPr>
          <w:spacing w:val="-57"/>
        </w:rPr>
        <w:t xml:space="preserve"> </w:t>
      </w:r>
      <w:r>
        <w:rPr>
          <w:spacing w:val="-4"/>
        </w:rPr>
        <w:t>0.00%。</w:t>
      </w:r>
    </w:p>
    <w:p w14:paraId="7513A047">
      <w:pPr>
        <w:pStyle w:val="2"/>
        <w:keepNext/>
        <w:keepLines/>
        <w:pageBreakBefore w:val="0"/>
        <w:widowControl w:val="0"/>
        <w:kinsoku w:val="0"/>
        <w:wordWrap/>
        <w:overflowPunct/>
        <w:topLinePunct w:val="0"/>
        <w:autoSpaceDE w:val="0"/>
        <w:autoSpaceDN w:val="0"/>
        <w:bidi w:val="0"/>
        <w:adjustRightInd w:val="0"/>
        <w:snapToGrid w:val="0"/>
        <w:spacing w:line="356" w:lineRule="auto"/>
        <w:ind w:firstLine="560" w:firstLineChars="200"/>
        <w:textAlignment w:val="baseline"/>
      </w:pPr>
      <w:r>
        <w:drawing>
          <wp:anchor distT="0" distB="0" distL="114300" distR="114300" simplePos="0" relativeHeight="251661312" behindDoc="0" locked="0" layoutInCell="1" allowOverlap="1">
            <wp:simplePos x="0" y="0"/>
            <wp:positionH relativeFrom="column">
              <wp:posOffset>340360</wp:posOffset>
            </wp:positionH>
            <wp:positionV relativeFrom="paragraph">
              <wp:posOffset>3175</wp:posOffset>
            </wp:positionV>
            <wp:extent cx="3823970" cy="2440305"/>
            <wp:effectExtent l="4445" t="4445" r="19685" b="12700"/>
            <wp:wrapNone/>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4BF603A4">
      <w:pPr>
        <w:pStyle w:val="2"/>
        <w:spacing w:before="91" w:line="218" w:lineRule="auto"/>
        <w:outlineLvl w:val="2"/>
        <w:rPr>
          <w:b/>
          <w:bCs/>
          <w:spacing w:val="-7"/>
        </w:rPr>
      </w:pPr>
    </w:p>
    <w:p w14:paraId="1F982E8F">
      <w:pPr>
        <w:pStyle w:val="2"/>
        <w:spacing w:before="91" w:line="218" w:lineRule="auto"/>
        <w:outlineLvl w:val="2"/>
        <w:rPr>
          <w:b/>
          <w:bCs/>
          <w:spacing w:val="-7"/>
        </w:rPr>
      </w:pPr>
    </w:p>
    <w:p w14:paraId="3DF52CF6">
      <w:pPr>
        <w:pStyle w:val="2"/>
        <w:spacing w:before="91" w:line="218" w:lineRule="auto"/>
        <w:outlineLvl w:val="2"/>
        <w:rPr>
          <w:b/>
          <w:bCs/>
          <w:spacing w:val="-7"/>
        </w:rPr>
      </w:pPr>
    </w:p>
    <w:p w14:paraId="7D0B1EC5">
      <w:pPr>
        <w:pStyle w:val="2"/>
        <w:spacing w:before="91" w:line="218" w:lineRule="auto"/>
        <w:outlineLvl w:val="2"/>
        <w:rPr>
          <w:b/>
          <w:bCs/>
          <w:spacing w:val="-7"/>
        </w:rPr>
      </w:pPr>
    </w:p>
    <w:p w14:paraId="2A175AC0">
      <w:pPr>
        <w:pStyle w:val="2"/>
        <w:spacing w:before="91" w:line="218" w:lineRule="auto"/>
        <w:outlineLvl w:val="2"/>
        <w:rPr>
          <w:b/>
          <w:bCs/>
          <w:spacing w:val="-7"/>
        </w:rPr>
      </w:pPr>
    </w:p>
    <w:p w14:paraId="6EA746D7">
      <w:pPr>
        <w:pStyle w:val="2"/>
        <w:spacing w:before="91" w:line="218" w:lineRule="auto"/>
        <w:outlineLvl w:val="2"/>
        <w:rPr>
          <w:b/>
          <w:bCs/>
          <w:spacing w:val="-7"/>
        </w:rPr>
      </w:pPr>
    </w:p>
    <w:p w14:paraId="7A1E243F">
      <w:pPr>
        <w:pStyle w:val="2"/>
        <w:spacing w:before="91" w:line="218" w:lineRule="auto"/>
        <w:outlineLvl w:val="2"/>
        <w:rPr>
          <w:b/>
          <w:bCs/>
          <w:spacing w:val="-7"/>
        </w:rPr>
      </w:pPr>
    </w:p>
    <w:p w14:paraId="477C8892">
      <w:pPr>
        <w:pStyle w:val="2"/>
        <w:spacing w:before="91" w:line="218" w:lineRule="auto"/>
        <w:outlineLvl w:val="2"/>
        <w:rPr>
          <w:b/>
          <w:bCs/>
          <w:spacing w:val="-7"/>
        </w:rPr>
      </w:pPr>
    </w:p>
    <w:p w14:paraId="44925A29">
      <w:pPr>
        <w:pStyle w:val="2"/>
        <w:spacing w:before="91" w:line="218" w:lineRule="auto"/>
        <w:ind w:firstLine="534" w:firstLineChars="200"/>
        <w:outlineLvl w:val="2"/>
      </w:pPr>
      <w:r>
        <w:rPr>
          <w:b/>
          <w:bCs/>
          <w:spacing w:val="-7"/>
        </w:rPr>
        <w:t>（二）支出预算</w:t>
      </w:r>
    </w:p>
    <w:p w14:paraId="1C33A955">
      <w:pPr>
        <w:pStyle w:val="2"/>
        <w:keepNext w:val="0"/>
        <w:keepLines w:val="0"/>
        <w:pageBreakBefore w:val="0"/>
        <w:widowControl/>
        <w:kinsoku w:val="0"/>
        <w:wordWrap/>
        <w:overflowPunct/>
        <w:topLinePunct w:val="0"/>
        <w:autoSpaceDE w:val="0"/>
        <w:autoSpaceDN w:val="0"/>
        <w:bidi w:val="0"/>
        <w:adjustRightInd w:val="0"/>
        <w:snapToGrid w:val="0"/>
        <w:spacing w:before="240" w:line="360" w:lineRule="auto"/>
        <w:ind w:left="6" w:firstLine="544"/>
        <w:jc w:val="both"/>
        <w:textAlignment w:val="baseline"/>
        <w:rPr>
          <w:rFonts w:hint="eastAsia"/>
          <w:spacing w:val="-6"/>
          <w:lang w:eastAsia="zh-CN"/>
        </w:rPr>
      </w:pPr>
      <w:r>
        <w:rPr>
          <w:spacing w:val="-12"/>
        </w:rPr>
        <w:t>202</w:t>
      </w:r>
      <w:r>
        <w:rPr>
          <w:rFonts w:hint="eastAsia"/>
          <w:spacing w:val="-12"/>
          <w:lang w:val="en-US" w:eastAsia="zh-CN"/>
        </w:rPr>
        <w:t>6</w:t>
      </w:r>
      <w:r>
        <w:rPr>
          <w:spacing w:val="-37"/>
        </w:rPr>
        <w:t xml:space="preserve"> </w:t>
      </w:r>
      <w:r>
        <w:rPr>
          <w:spacing w:val="-12"/>
        </w:rPr>
        <w:t>年支出预算</w:t>
      </w:r>
      <w:r>
        <w:rPr>
          <w:rFonts w:hint="eastAsia"/>
          <w:spacing w:val="3"/>
          <w:lang w:val="en-US" w:eastAsia="zh-CN"/>
        </w:rPr>
        <w:t>105.38</w:t>
      </w:r>
      <w:r>
        <w:rPr>
          <w:spacing w:val="-12"/>
        </w:rPr>
        <w:t>万元（详见部门预算公开表</w:t>
      </w:r>
      <w:r>
        <w:rPr>
          <w:spacing w:val="-54"/>
        </w:rPr>
        <w:t xml:space="preserve"> </w:t>
      </w:r>
      <w:r>
        <w:rPr>
          <w:spacing w:val="-12"/>
        </w:rPr>
        <w:t>3）。其中</w:t>
      </w:r>
      <w:r>
        <w:rPr>
          <w:rFonts w:hint="eastAsia"/>
          <w:spacing w:val="-12"/>
          <w:lang w:eastAsia="zh-CN"/>
        </w:rPr>
        <w:t>：</w:t>
      </w:r>
      <w:r>
        <w:rPr>
          <w:spacing w:val="-12"/>
        </w:rPr>
        <w:t>基本支</w:t>
      </w:r>
      <w:r>
        <w:rPr>
          <w:spacing w:val="-5"/>
        </w:rPr>
        <w:t>出</w:t>
      </w:r>
      <w:r>
        <w:rPr>
          <w:spacing w:val="-59"/>
        </w:rPr>
        <w:t xml:space="preserve"> </w:t>
      </w:r>
      <w:r>
        <w:rPr>
          <w:rFonts w:hint="eastAsia"/>
          <w:spacing w:val="3"/>
          <w:lang w:val="en-US" w:eastAsia="zh-CN"/>
        </w:rPr>
        <w:t>105.38</w:t>
      </w:r>
      <w:r>
        <w:rPr>
          <w:spacing w:val="-50"/>
        </w:rPr>
        <w:t xml:space="preserve"> </w:t>
      </w:r>
      <w:r>
        <w:rPr>
          <w:spacing w:val="-5"/>
        </w:rPr>
        <w:t>万元，占</w:t>
      </w:r>
      <w:r>
        <w:rPr>
          <w:rFonts w:hint="eastAsia"/>
          <w:spacing w:val="-5"/>
          <w:lang w:val="en-US" w:eastAsia="zh-CN"/>
        </w:rPr>
        <w:t>100</w:t>
      </w:r>
      <w:r>
        <w:rPr>
          <w:spacing w:val="-5"/>
        </w:rPr>
        <w:t>%；项目支出</w:t>
      </w:r>
      <w:r>
        <w:rPr>
          <w:rFonts w:hint="eastAsia"/>
          <w:spacing w:val="-59"/>
          <w:lang w:val="en-US" w:eastAsia="zh-CN"/>
        </w:rPr>
        <w:t>0</w:t>
      </w:r>
      <w:r>
        <w:rPr>
          <w:spacing w:val="-6"/>
        </w:rPr>
        <w:t>万元</w:t>
      </w:r>
      <w:r>
        <w:rPr>
          <w:rFonts w:hint="eastAsia"/>
          <w:spacing w:val="-6"/>
          <w:lang w:eastAsia="zh-CN"/>
        </w:rPr>
        <w:t>，</w:t>
      </w:r>
      <w:r>
        <w:rPr>
          <w:spacing w:val="-6"/>
        </w:rPr>
        <w:t>占</w:t>
      </w:r>
      <w:r>
        <w:rPr>
          <w:rFonts w:hint="eastAsia"/>
          <w:spacing w:val="-6"/>
          <w:lang w:val="en-US" w:eastAsia="zh-CN"/>
        </w:rPr>
        <w:t>0</w:t>
      </w:r>
      <w:r>
        <w:rPr>
          <w:spacing w:val="-6"/>
        </w:rPr>
        <w:t>%</w:t>
      </w:r>
      <w:r>
        <w:rPr>
          <w:rFonts w:hint="eastAsia"/>
          <w:spacing w:val="-6"/>
          <w:lang w:eastAsia="zh-CN"/>
        </w:rPr>
        <w:t>。</w:t>
      </w:r>
    </w:p>
    <w:p w14:paraId="3AB4EFF7">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before="240" w:line="280" w:lineRule="exact"/>
        <w:ind w:left="570" w:leftChars="0" w:firstLine="0" w:firstLineChars="0"/>
        <w:jc w:val="both"/>
        <w:textAlignment w:val="baseline"/>
        <w:rPr>
          <w:b/>
          <w:bCs/>
          <w:spacing w:val="-8"/>
        </w:rPr>
      </w:pPr>
      <w:r>
        <w:rPr>
          <w:b/>
          <w:bCs/>
          <w:spacing w:val="-8"/>
        </w:rPr>
        <w:t>一般公共预算情况</w:t>
      </w:r>
    </w:p>
    <w:p w14:paraId="503352CF">
      <w:pPr>
        <w:pStyle w:val="2"/>
        <w:keepNext w:val="0"/>
        <w:keepLines w:val="0"/>
        <w:pageBreakBefore w:val="0"/>
        <w:widowControl/>
        <w:kinsoku w:val="0"/>
        <w:wordWrap/>
        <w:overflowPunct/>
        <w:topLinePunct w:val="0"/>
        <w:autoSpaceDE w:val="0"/>
        <w:autoSpaceDN w:val="0"/>
        <w:bidi w:val="0"/>
        <w:adjustRightInd w:val="0"/>
        <w:snapToGrid w:val="0"/>
        <w:spacing w:before="240" w:line="280" w:lineRule="exact"/>
        <w:ind w:left="6" w:firstLine="544"/>
        <w:jc w:val="both"/>
        <w:textAlignment w:val="baseline"/>
      </w:pPr>
      <w:r>
        <w:rPr>
          <w:spacing w:val="-12"/>
        </w:rPr>
        <w:t>202</w:t>
      </w:r>
      <w:r>
        <w:rPr>
          <w:rFonts w:hint="eastAsia"/>
          <w:spacing w:val="-12"/>
          <w:lang w:val="en-US" w:eastAsia="zh-CN"/>
        </w:rPr>
        <w:t>6</w:t>
      </w:r>
      <w:r>
        <w:rPr>
          <w:spacing w:val="-12"/>
        </w:rPr>
        <w:t xml:space="preserve"> 年一般公共预</w:t>
      </w:r>
      <w:r>
        <w:rPr>
          <w:spacing w:val="-2"/>
        </w:rPr>
        <w:t>算支出</w:t>
      </w:r>
      <w:r>
        <w:rPr>
          <w:spacing w:val="-39"/>
        </w:rPr>
        <w:t xml:space="preserve"> </w:t>
      </w:r>
      <w:r>
        <w:rPr>
          <w:rFonts w:hint="eastAsia"/>
          <w:spacing w:val="3"/>
          <w:lang w:val="en-US" w:eastAsia="zh-CN"/>
        </w:rPr>
        <w:t>105.38</w:t>
      </w:r>
      <w:r>
        <w:rPr>
          <w:spacing w:val="-3"/>
        </w:rPr>
        <w:t>万元，包括：一般公共服务支出</w:t>
      </w:r>
    </w:p>
    <w:p w14:paraId="5062E9C7">
      <w:pPr>
        <w:pStyle w:val="2"/>
        <w:spacing w:before="231" w:line="354" w:lineRule="auto"/>
        <w:ind w:firstLine="12"/>
      </w:pPr>
      <w:r>
        <w:rPr>
          <w:rFonts w:hint="eastAsia"/>
          <w:spacing w:val="-9"/>
          <w:lang w:val="en-US" w:eastAsia="zh-CN"/>
        </w:rPr>
        <w:t>80.41</w:t>
      </w:r>
      <w:r>
        <w:rPr>
          <w:spacing w:val="-9"/>
        </w:rPr>
        <w:t>万元、社会保障和就业支出</w:t>
      </w:r>
      <w:r>
        <w:rPr>
          <w:rFonts w:hint="eastAsia" w:cs="仿宋_GB2312"/>
          <w:w w:val="100"/>
          <w:lang w:val="en-US" w:eastAsia="zh-CN"/>
        </w:rPr>
        <w:t>13.83</w:t>
      </w:r>
      <w:r>
        <w:rPr>
          <w:spacing w:val="-9"/>
        </w:rPr>
        <w:t>万元、卫生健康支出</w:t>
      </w:r>
      <w:r>
        <w:rPr>
          <w:rFonts w:hint="eastAsia"/>
          <w:w w:val="100"/>
          <w:lang w:val="en-US" w:eastAsia="zh-CN"/>
        </w:rPr>
        <w:t>4.53</w:t>
      </w:r>
      <w:r>
        <w:rPr>
          <w:spacing w:val="-9"/>
        </w:rPr>
        <w:t>万元、</w:t>
      </w:r>
      <w:r>
        <w:t xml:space="preserve"> </w:t>
      </w:r>
      <w:r>
        <w:rPr>
          <w:spacing w:val="-5"/>
        </w:rPr>
        <w:t>住房保障支出</w:t>
      </w:r>
      <w:r>
        <w:rPr>
          <w:rFonts w:hint="eastAsia"/>
          <w:w w:val="100"/>
          <w:lang w:val="en-US" w:eastAsia="zh-CN"/>
        </w:rPr>
        <w:t>6.61</w:t>
      </w:r>
      <w:r>
        <w:rPr>
          <w:spacing w:val="-5"/>
        </w:rPr>
        <w:t>万元。</w:t>
      </w:r>
    </w:p>
    <w:p w14:paraId="0F9060E0">
      <w:pPr>
        <w:pStyle w:val="2"/>
        <w:spacing w:before="45" w:line="217" w:lineRule="auto"/>
        <w:ind w:left="563"/>
      </w:pPr>
      <w:r>
        <w:rPr>
          <w:spacing w:val="-1"/>
        </w:rPr>
        <w:t>具体安排情况如下（详见部门（单位）预算公开表</w:t>
      </w:r>
      <w:r>
        <w:rPr>
          <w:spacing w:val="-59"/>
        </w:rPr>
        <w:t xml:space="preserve"> </w:t>
      </w:r>
      <w:r>
        <w:rPr>
          <w:spacing w:val="-1"/>
        </w:rPr>
        <w:t>4,5,</w:t>
      </w:r>
      <w:r>
        <w:rPr>
          <w:spacing w:val="-2"/>
        </w:rPr>
        <w:t>6,7</w:t>
      </w:r>
      <w:r>
        <w:rPr>
          <w:spacing w:val="-51"/>
        </w:rPr>
        <w:t>）：</w:t>
      </w:r>
    </w:p>
    <w:p w14:paraId="1F65F7DE">
      <w:pPr>
        <w:spacing w:line="4550" w:lineRule="exact"/>
        <w:ind w:firstLine="2109"/>
        <w:rPr>
          <w:b/>
          <w:bCs/>
          <w:spacing w:val="-9"/>
        </w:rPr>
      </w:pPr>
      <w:r>
        <w:drawing>
          <wp:anchor distT="0" distB="0" distL="114300" distR="114300" simplePos="0" relativeHeight="251661312" behindDoc="0" locked="0" layoutInCell="1" allowOverlap="1">
            <wp:simplePos x="0" y="0"/>
            <wp:positionH relativeFrom="column">
              <wp:posOffset>295910</wp:posOffset>
            </wp:positionH>
            <wp:positionV relativeFrom="paragraph">
              <wp:posOffset>149860</wp:posOffset>
            </wp:positionV>
            <wp:extent cx="3949065" cy="2447290"/>
            <wp:effectExtent l="4445" t="4445" r="8890" b="5715"/>
            <wp:wrapNone/>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131CE13B">
      <w:pPr>
        <w:pStyle w:val="2"/>
        <w:spacing w:before="91" w:line="219" w:lineRule="auto"/>
        <w:ind w:left="562"/>
        <w:outlineLvl w:val="2"/>
      </w:pPr>
      <w:r>
        <w:rPr>
          <w:b/>
          <w:bCs/>
          <w:spacing w:val="-9"/>
        </w:rPr>
        <w:t>（一）基本支出</w:t>
      </w:r>
    </w:p>
    <w:p w14:paraId="32EABA12">
      <w:pPr>
        <w:pStyle w:val="2"/>
        <w:spacing w:before="238" w:line="359" w:lineRule="auto"/>
        <w:ind w:left="12" w:right="93" w:firstLine="542"/>
        <w:jc w:val="both"/>
      </w:pPr>
      <w:r>
        <w:rPr>
          <w:spacing w:val="-6"/>
        </w:rPr>
        <w:t>202</w:t>
      </w:r>
      <w:r>
        <w:rPr>
          <w:rFonts w:hint="eastAsia"/>
          <w:spacing w:val="-6"/>
          <w:lang w:val="en-US" w:eastAsia="zh-CN"/>
        </w:rPr>
        <w:t>6</w:t>
      </w:r>
      <w:r>
        <w:rPr>
          <w:spacing w:val="-6"/>
        </w:rPr>
        <w:t>年基本支出</w:t>
      </w:r>
      <w:r>
        <w:rPr>
          <w:spacing w:val="-59"/>
        </w:rPr>
        <w:t xml:space="preserve"> </w:t>
      </w:r>
      <w:r>
        <w:rPr>
          <w:rFonts w:hint="eastAsia"/>
          <w:w w:val="100"/>
          <w:lang w:val="en-US" w:eastAsia="zh-CN"/>
        </w:rPr>
        <w:t>105.38</w:t>
      </w:r>
      <w:r>
        <w:rPr>
          <w:spacing w:val="-6"/>
        </w:rPr>
        <w:t>万元，比</w:t>
      </w:r>
      <w:r>
        <w:rPr>
          <w:spacing w:val="-57"/>
        </w:rPr>
        <w:t xml:space="preserve"> </w:t>
      </w:r>
      <w:r>
        <w:rPr>
          <w:spacing w:val="-6"/>
        </w:rPr>
        <w:t>202</w:t>
      </w:r>
      <w:r>
        <w:rPr>
          <w:rFonts w:hint="eastAsia"/>
          <w:spacing w:val="-6"/>
          <w:lang w:val="en-US" w:eastAsia="zh-CN"/>
        </w:rPr>
        <w:t>5</w:t>
      </w:r>
      <w:r>
        <w:rPr>
          <w:spacing w:val="-6"/>
        </w:rPr>
        <w:t>年预算</w:t>
      </w:r>
      <w:r>
        <w:rPr>
          <w:rFonts w:hint="eastAsia"/>
          <w:spacing w:val="-6"/>
          <w:lang w:val="en-US" w:eastAsia="zh-CN"/>
        </w:rPr>
        <w:t>减少</w:t>
      </w:r>
      <w:r>
        <w:rPr>
          <w:spacing w:val="-40"/>
        </w:rPr>
        <w:t xml:space="preserve"> </w:t>
      </w:r>
      <w:r>
        <w:rPr>
          <w:rFonts w:hint="eastAsia"/>
          <w:spacing w:val="-6"/>
          <w:lang w:val="en-US" w:eastAsia="zh-CN"/>
        </w:rPr>
        <w:t>16</w:t>
      </w:r>
      <w:r>
        <w:rPr>
          <w:spacing w:val="-6"/>
        </w:rPr>
        <w:t>万元，</w:t>
      </w:r>
      <w:r>
        <w:rPr>
          <w:rFonts w:hint="eastAsia"/>
          <w:spacing w:val="-6"/>
          <w:lang w:val="en-US" w:eastAsia="zh-CN"/>
        </w:rPr>
        <w:t>减少</w:t>
      </w:r>
      <w:r>
        <w:rPr>
          <w:rFonts w:hint="eastAsia"/>
          <w:spacing w:val="-1"/>
          <w:lang w:val="en-US" w:eastAsia="zh-CN"/>
        </w:rPr>
        <w:t>13.18</w:t>
      </w:r>
      <w:r>
        <w:rPr>
          <w:spacing w:val="-1"/>
        </w:rPr>
        <w:t>%，</w:t>
      </w:r>
      <w:r>
        <w:rPr>
          <w:rFonts w:hint="eastAsia"/>
          <w:spacing w:val="-1"/>
          <w:lang w:val="en-US" w:eastAsia="zh-CN"/>
        </w:rPr>
        <w:t>减少</w:t>
      </w:r>
      <w:r>
        <w:rPr>
          <w:spacing w:val="-1"/>
        </w:rPr>
        <w:t>的主要原因是</w:t>
      </w:r>
      <w:r>
        <w:rPr>
          <w:rFonts w:hint="eastAsia"/>
          <w:w w:val="100"/>
          <w:lang w:eastAsia="zh-CN"/>
        </w:rPr>
        <w:t>本年度单位</w:t>
      </w:r>
      <w:r>
        <w:rPr>
          <w:rFonts w:hint="eastAsia"/>
          <w:w w:val="100"/>
          <w:lang w:val="en-US" w:eastAsia="zh-CN"/>
        </w:rPr>
        <w:t>退休1人，人员经费减少</w:t>
      </w:r>
      <w:r>
        <w:rPr>
          <w:spacing w:val="-7"/>
        </w:rPr>
        <w:t>。</w:t>
      </w:r>
    </w:p>
    <w:p w14:paraId="537AF080">
      <w:pPr>
        <w:pStyle w:val="2"/>
        <w:spacing w:before="45" w:line="354" w:lineRule="auto"/>
        <w:ind w:right="95" w:firstLine="561"/>
      </w:pPr>
      <w:r>
        <w:rPr>
          <w:spacing w:val="-2"/>
        </w:rPr>
        <w:t>其中：人员经费支出</w:t>
      </w:r>
      <w:r>
        <w:rPr>
          <w:rFonts w:hint="eastAsia"/>
          <w:spacing w:val="-2"/>
          <w:lang w:val="en-US" w:eastAsia="zh-CN"/>
        </w:rPr>
        <w:t>88.54</w:t>
      </w:r>
      <w:r>
        <w:rPr>
          <w:spacing w:val="-2"/>
        </w:rPr>
        <w:t>万元，主要包括：基本工资、津贴补</w:t>
      </w:r>
      <w:r>
        <w:rPr>
          <w:spacing w:val="-3"/>
        </w:rPr>
        <w:t>贴、奖</w:t>
      </w:r>
      <w:r>
        <w:rPr>
          <w:spacing w:val="-1"/>
        </w:rPr>
        <w:t>金</w:t>
      </w:r>
      <w:r>
        <w:rPr>
          <w:rFonts w:hint="eastAsia"/>
          <w:spacing w:val="-1"/>
          <w:lang w:eastAsia="zh-CN"/>
        </w:rPr>
        <w:t>、</w:t>
      </w:r>
      <w:r>
        <w:rPr>
          <w:spacing w:val="-1"/>
        </w:rPr>
        <w:t>绩效工资、机关事业单位基本养老保险缴费、职工基本医疗保险缴费、公务</w:t>
      </w:r>
      <w:r>
        <w:rPr>
          <w:rFonts w:hint="eastAsia"/>
          <w:spacing w:val="-1"/>
          <w:lang w:val="en-US" w:eastAsia="zh-CN"/>
        </w:rPr>
        <w:t>员</w:t>
      </w:r>
      <w:r>
        <w:rPr>
          <w:spacing w:val="-1"/>
        </w:rPr>
        <w:t>医疗补助缴费、其他社会保障缴费、住房公积金、离休费、退休费、生活</w:t>
      </w:r>
      <w:r>
        <w:rPr>
          <w:spacing w:val="-3"/>
        </w:rPr>
        <w:t>补助</w:t>
      </w:r>
      <w:r>
        <w:rPr>
          <w:rFonts w:hint="eastAsia"/>
          <w:spacing w:val="-3"/>
          <w:lang w:eastAsia="zh-CN"/>
        </w:rPr>
        <w:t>、</w:t>
      </w:r>
      <w:r>
        <w:rPr>
          <w:spacing w:val="-3"/>
        </w:rPr>
        <w:t>医疗费补助。</w:t>
      </w:r>
    </w:p>
    <w:p w14:paraId="59C0856A">
      <w:pPr>
        <w:pStyle w:val="2"/>
        <w:keepNext w:val="0"/>
        <w:keepLines w:val="0"/>
        <w:pageBreakBefore w:val="0"/>
        <w:widowControl/>
        <w:kinsoku w:val="0"/>
        <w:wordWrap/>
        <w:overflowPunct/>
        <w:topLinePunct w:val="0"/>
        <w:autoSpaceDE w:val="0"/>
        <w:autoSpaceDN w:val="0"/>
        <w:bidi w:val="0"/>
        <w:adjustRightInd w:val="0"/>
        <w:snapToGrid w:val="0"/>
        <w:spacing w:before="43" w:line="360" w:lineRule="auto"/>
        <w:ind w:left="6" w:right="113" w:firstLine="556"/>
        <w:jc w:val="both"/>
        <w:textAlignment w:val="baseline"/>
        <w:rPr>
          <w:spacing w:val="-6"/>
        </w:rPr>
      </w:pPr>
      <w:r>
        <w:rPr>
          <w:spacing w:val="-3"/>
        </w:rPr>
        <w:t>公用经费支出</w:t>
      </w:r>
      <w:r>
        <w:rPr>
          <w:spacing w:val="-40"/>
        </w:rPr>
        <w:t xml:space="preserve"> </w:t>
      </w:r>
      <w:r>
        <w:rPr>
          <w:rFonts w:hint="eastAsia"/>
          <w:spacing w:val="-3"/>
          <w:lang w:val="en-US" w:eastAsia="zh-CN"/>
        </w:rPr>
        <w:t>16.84</w:t>
      </w:r>
      <w:r>
        <w:rPr>
          <w:spacing w:val="-3"/>
        </w:rPr>
        <w:t>万元</w:t>
      </w:r>
      <w:r>
        <w:rPr>
          <w:spacing w:val="-6"/>
        </w:rPr>
        <w:t>，主要包括：办公费、印刷费、水费、电费、 邮电费、取暖费、差旅费、因公出国（境）费用、会议费、培训费、公务接待 费、工会经费、福利费、公务用车运行维护费、其他交通费用、其他商品和服 务支出。</w:t>
      </w:r>
    </w:p>
    <w:p w14:paraId="5F2FB027">
      <w:pPr>
        <w:pStyle w:val="2"/>
        <w:keepNext w:val="0"/>
        <w:keepLines w:val="0"/>
        <w:pageBreakBefore w:val="0"/>
        <w:widowControl/>
        <w:kinsoku w:val="0"/>
        <w:wordWrap/>
        <w:overflowPunct/>
        <w:topLinePunct w:val="0"/>
        <w:autoSpaceDE w:val="0"/>
        <w:autoSpaceDN w:val="0"/>
        <w:bidi w:val="0"/>
        <w:adjustRightInd w:val="0"/>
        <w:snapToGrid w:val="0"/>
        <w:spacing w:before="72" w:line="240" w:lineRule="auto"/>
        <w:ind w:left="563"/>
        <w:textAlignment w:val="baseline"/>
        <w:outlineLvl w:val="2"/>
      </w:pPr>
      <w:r>
        <w:rPr>
          <w:b/>
          <w:bCs/>
          <w:spacing w:val="-9"/>
        </w:rPr>
        <w:t>（二）项目支出</w:t>
      </w:r>
    </w:p>
    <w:p w14:paraId="146CADA8">
      <w:pPr>
        <w:pStyle w:val="2"/>
        <w:keepNext w:val="0"/>
        <w:keepLines w:val="0"/>
        <w:pageBreakBefore w:val="0"/>
        <w:widowControl/>
        <w:kinsoku w:val="0"/>
        <w:wordWrap/>
        <w:overflowPunct/>
        <w:topLinePunct w:val="0"/>
        <w:autoSpaceDE w:val="0"/>
        <w:autoSpaceDN w:val="0"/>
        <w:bidi w:val="0"/>
        <w:adjustRightInd w:val="0"/>
        <w:snapToGrid w:val="0"/>
        <w:spacing w:before="233" w:line="240" w:lineRule="auto"/>
        <w:ind w:right="92" w:firstLine="554"/>
        <w:textAlignment w:val="baseline"/>
        <w:rPr>
          <w:rFonts w:hint="eastAsia" w:eastAsia="仿宋"/>
          <w:lang w:eastAsia="zh-CN"/>
        </w:rPr>
      </w:pPr>
      <w:r>
        <w:rPr>
          <w:spacing w:val="-3"/>
        </w:rPr>
        <w:t>202</w:t>
      </w:r>
      <w:r>
        <w:rPr>
          <w:rFonts w:hint="eastAsia"/>
          <w:spacing w:val="-3"/>
          <w:lang w:val="en-US" w:eastAsia="zh-CN"/>
        </w:rPr>
        <w:t>6</w:t>
      </w:r>
      <w:r>
        <w:rPr>
          <w:spacing w:val="-47"/>
        </w:rPr>
        <w:t xml:space="preserve"> </w:t>
      </w:r>
      <w:r>
        <w:rPr>
          <w:spacing w:val="-3"/>
        </w:rPr>
        <w:t>年</w:t>
      </w:r>
      <w:r>
        <w:rPr>
          <w:rFonts w:hint="eastAsia"/>
          <w:spacing w:val="-3"/>
          <w:lang w:val="en-US" w:eastAsia="zh-CN"/>
        </w:rPr>
        <w:t>无</w:t>
      </w:r>
      <w:r>
        <w:rPr>
          <w:spacing w:val="-3"/>
        </w:rPr>
        <w:t>一般公共预算项目支出</w:t>
      </w:r>
      <w:r>
        <w:rPr>
          <w:spacing w:val="-59"/>
        </w:rPr>
        <w:t xml:space="preserve"> </w:t>
      </w:r>
      <w:r>
        <w:rPr>
          <w:rFonts w:hint="eastAsia"/>
          <w:spacing w:val="-3"/>
          <w:lang w:eastAsia="zh-CN"/>
        </w:rPr>
        <w:t>。</w:t>
      </w:r>
    </w:p>
    <w:p w14:paraId="422AEF8E">
      <w:pPr>
        <w:pStyle w:val="2"/>
        <w:keepNext w:val="0"/>
        <w:keepLines w:val="0"/>
        <w:pageBreakBefore w:val="0"/>
        <w:widowControl/>
        <w:kinsoku w:val="0"/>
        <w:wordWrap/>
        <w:overflowPunct/>
        <w:topLinePunct w:val="0"/>
        <w:autoSpaceDE w:val="0"/>
        <w:autoSpaceDN w:val="0"/>
        <w:bidi w:val="0"/>
        <w:adjustRightInd w:val="0"/>
        <w:snapToGrid w:val="0"/>
        <w:spacing w:before="262" w:line="240" w:lineRule="auto"/>
        <w:ind w:left="571"/>
        <w:textAlignment w:val="baseline"/>
        <w:outlineLvl w:val="1"/>
      </w:pPr>
      <w:r>
        <w:rPr>
          <w:b/>
          <w:bCs/>
          <w:spacing w:val="-3"/>
        </w:rPr>
        <w:t>五、部门一般公共预算财政拨款“三公”经费、培训费、会议费等情况</w:t>
      </w:r>
    </w:p>
    <w:p w14:paraId="74730E8D">
      <w:pPr>
        <w:pStyle w:val="2"/>
        <w:keepNext w:val="0"/>
        <w:keepLines w:val="0"/>
        <w:pageBreakBefore w:val="0"/>
        <w:widowControl/>
        <w:kinsoku w:val="0"/>
        <w:wordWrap/>
        <w:overflowPunct/>
        <w:topLinePunct w:val="0"/>
        <w:autoSpaceDE w:val="0"/>
        <w:autoSpaceDN w:val="0"/>
        <w:bidi w:val="0"/>
        <w:adjustRightInd w:val="0"/>
        <w:snapToGrid w:val="0"/>
        <w:spacing w:before="268" w:line="240" w:lineRule="auto"/>
        <w:ind w:left="567"/>
        <w:textAlignment w:val="baseline"/>
        <w:outlineLvl w:val="2"/>
      </w:pPr>
      <w:r>
        <w:rPr>
          <w:b/>
          <w:bCs/>
          <w:spacing w:val="-5"/>
        </w:rPr>
        <w:t>（一）“三公”经费情况说明</w:t>
      </w:r>
    </w:p>
    <w:p w14:paraId="63F3EE5F">
      <w:pPr>
        <w:pStyle w:val="2"/>
        <w:keepNext w:val="0"/>
        <w:keepLines w:val="0"/>
        <w:pageBreakBefore w:val="0"/>
        <w:widowControl/>
        <w:kinsoku w:val="0"/>
        <w:wordWrap/>
        <w:overflowPunct/>
        <w:topLinePunct w:val="0"/>
        <w:autoSpaceDE w:val="0"/>
        <w:autoSpaceDN w:val="0"/>
        <w:bidi w:val="0"/>
        <w:adjustRightInd w:val="0"/>
        <w:snapToGrid w:val="0"/>
        <w:spacing w:before="237" w:line="240" w:lineRule="auto"/>
        <w:ind w:left="535"/>
        <w:textAlignment w:val="baseline"/>
      </w:pPr>
      <w:r>
        <w:rPr>
          <w:spacing w:val="-4"/>
        </w:rPr>
        <w:t>“三公”经费预算</w:t>
      </w:r>
      <w:r>
        <w:rPr>
          <w:spacing w:val="-49"/>
        </w:rPr>
        <w:t xml:space="preserve"> </w:t>
      </w:r>
      <w:r>
        <w:rPr>
          <w:rFonts w:hint="eastAsia"/>
          <w:spacing w:val="-4"/>
          <w:lang w:val="en-US" w:eastAsia="zh-CN"/>
        </w:rPr>
        <w:t>4</w:t>
      </w:r>
      <w:r>
        <w:rPr>
          <w:spacing w:val="-50"/>
        </w:rPr>
        <w:t xml:space="preserve"> </w:t>
      </w:r>
      <w:r>
        <w:rPr>
          <w:spacing w:val="-4"/>
        </w:rPr>
        <w:t>万元，较</w:t>
      </w:r>
      <w:r>
        <w:rPr>
          <w:spacing w:val="-57"/>
        </w:rPr>
        <w:t xml:space="preserve"> </w:t>
      </w:r>
      <w:r>
        <w:rPr>
          <w:spacing w:val="-4"/>
        </w:rPr>
        <w:t>202</w:t>
      </w:r>
      <w:r>
        <w:rPr>
          <w:rFonts w:hint="eastAsia"/>
          <w:spacing w:val="-4"/>
          <w:lang w:val="en-US" w:eastAsia="zh-CN"/>
        </w:rPr>
        <w:t>5</w:t>
      </w:r>
      <w:r>
        <w:rPr>
          <w:spacing w:val="-48"/>
        </w:rPr>
        <w:t xml:space="preserve"> </w:t>
      </w:r>
      <w:r>
        <w:rPr>
          <w:spacing w:val="-4"/>
        </w:rPr>
        <w:t>年</w:t>
      </w:r>
      <w:r>
        <w:rPr>
          <w:rFonts w:hint="eastAsia"/>
          <w:spacing w:val="-4"/>
          <w:lang w:val="en-US" w:eastAsia="zh-CN"/>
        </w:rPr>
        <w:t>无变化</w:t>
      </w:r>
      <w:r>
        <w:rPr>
          <w:spacing w:val="-4"/>
        </w:rPr>
        <w:t>。</w:t>
      </w:r>
    </w:p>
    <w:p w14:paraId="6C47D4A0">
      <w:pPr>
        <w:pStyle w:val="2"/>
        <w:keepNext w:val="0"/>
        <w:keepLines w:val="0"/>
        <w:pageBreakBefore w:val="0"/>
        <w:widowControl/>
        <w:kinsoku w:val="0"/>
        <w:wordWrap/>
        <w:overflowPunct/>
        <w:topLinePunct w:val="0"/>
        <w:autoSpaceDE w:val="0"/>
        <w:autoSpaceDN w:val="0"/>
        <w:bidi w:val="0"/>
        <w:adjustRightInd w:val="0"/>
        <w:snapToGrid w:val="0"/>
        <w:spacing w:before="237" w:line="240" w:lineRule="auto"/>
        <w:ind w:left="535"/>
        <w:textAlignment w:val="baseline"/>
        <w:rPr>
          <w:rFonts w:hint="eastAsia" w:eastAsia="仿宋"/>
          <w:lang w:val="en-US" w:eastAsia="zh-CN"/>
        </w:rPr>
      </w:pPr>
      <w:r>
        <w:rPr>
          <w:spacing w:val="-21"/>
        </w:rPr>
        <w:t>1．因公出国（境）费用</w:t>
      </w:r>
      <w:r>
        <w:rPr>
          <w:rFonts w:hint="eastAsia"/>
          <w:spacing w:val="-45"/>
          <w:lang w:val="en-US" w:eastAsia="zh-CN"/>
        </w:rPr>
        <w:t>0</w:t>
      </w:r>
      <w:r>
        <w:rPr>
          <w:spacing w:val="-21"/>
        </w:rPr>
        <w:t>万元</w:t>
      </w:r>
      <w:r>
        <w:rPr>
          <w:spacing w:val="-4"/>
        </w:rPr>
        <w:t>。</w:t>
      </w:r>
    </w:p>
    <w:p w14:paraId="5A208F14">
      <w:pPr>
        <w:pStyle w:val="2"/>
        <w:keepNext w:val="0"/>
        <w:keepLines w:val="0"/>
        <w:pageBreakBefore w:val="0"/>
        <w:widowControl/>
        <w:kinsoku w:val="0"/>
        <w:wordWrap/>
        <w:overflowPunct/>
        <w:topLinePunct w:val="0"/>
        <w:autoSpaceDE w:val="0"/>
        <w:autoSpaceDN w:val="0"/>
        <w:bidi w:val="0"/>
        <w:adjustRightInd w:val="0"/>
        <w:snapToGrid w:val="0"/>
        <w:spacing w:before="226" w:line="240" w:lineRule="auto"/>
        <w:ind w:left="19" w:right="150" w:firstLine="540"/>
        <w:textAlignment w:val="baseline"/>
      </w:pPr>
      <w:r>
        <w:rPr>
          <w:spacing w:val="-6"/>
        </w:rPr>
        <w:t>2．公务接待费</w:t>
      </w:r>
      <w:r>
        <w:rPr>
          <w:rFonts w:hint="eastAsia"/>
          <w:spacing w:val="-37"/>
          <w:lang w:val="en-US" w:eastAsia="zh-CN"/>
        </w:rPr>
        <w:t>0</w:t>
      </w:r>
      <w:r>
        <w:rPr>
          <w:spacing w:val="-50"/>
        </w:rPr>
        <w:t xml:space="preserve"> </w:t>
      </w:r>
      <w:r>
        <w:rPr>
          <w:spacing w:val="-6"/>
        </w:rPr>
        <w:t>万元</w:t>
      </w:r>
      <w:r>
        <w:rPr>
          <w:spacing w:val="-2"/>
        </w:rPr>
        <w:t>。</w:t>
      </w:r>
    </w:p>
    <w:p w14:paraId="658F9B70">
      <w:pPr>
        <w:pStyle w:val="2"/>
        <w:keepNext w:val="0"/>
        <w:keepLines w:val="0"/>
        <w:pageBreakBefore w:val="0"/>
        <w:widowControl/>
        <w:kinsoku w:val="0"/>
        <w:wordWrap/>
        <w:overflowPunct/>
        <w:topLinePunct w:val="0"/>
        <w:autoSpaceDE w:val="0"/>
        <w:autoSpaceDN w:val="0"/>
        <w:bidi w:val="0"/>
        <w:adjustRightInd w:val="0"/>
        <w:snapToGrid w:val="0"/>
        <w:spacing w:before="237" w:line="240" w:lineRule="auto"/>
        <w:ind w:left="535"/>
        <w:textAlignment w:val="baseline"/>
        <w:rPr>
          <w:rFonts w:hint="eastAsia"/>
          <w:spacing w:val="-6"/>
          <w:lang w:val="en-US" w:eastAsia="zh-CN"/>
        </w:rPr>
      </w:pPr>
      <w:r>
        <w:rPr>
          <w:spacing w:val="-2"/>
        </w:rPr>
        <w:t>3．公务用</w:t>
      </w:r>
      <w:r>
        <w:rPr>
          <w:rFonts w:hint="eastAsia"/>
          <w:spacing w:val="-4"/>
          <w:lang w:val="en-US" w:eastAsia="zh-CN"/>
        </w:rPr>
        <w:t>车购置及运行维护费4万元（其中：</w:t>
      </w:r>
      <w:r>
        <w:rPr>
          <w:rFonts w:hint="eastAsia"/>
          <w:spacing w:val="-6"/>
          <w:lang w:val="en-US" w:eastAsia="zh-CN"/>
        </w:rPr>
        <w:t>公务用车购置 0.00 万元，</w:t>
      </w:r>
    </w:p>
    <w:p w14:paraId="54138539">
      <w:pPr>
        <w:pStyle w:val="2"/>
        <w:keepNext w:val="0"/>
        <w:keepLines w:val="0"/>
        <w:pageBreakBefore w:val="0"/>
        <w:widowControl/>
        <w:kinsoku w:val="0"/>
        <w:wordWrap/>
        <w:overflowPunct/>
        <w:topLinePunct w:val="0"/>
        <w:autoSpaceDE w:val="0"/>
        <w:autoSpaceDN w:val="0"/>
        <w:bidi w:val="0"/>
        <w:adjustRightInd w:val="0"/>
        <w:snapToGrid w:val="0"/>
        <w:spacing w:before="237" w:line="240" w:lineRule="auto"/>
        <w:ind w:left="535"/>
        <w:textAlignment w:val="baseline"/>
        <w:rPr>
          <w:rFonts w:hint="eastAsia"/>
          <w:spacing w:val="-4"/>
          <w:lang w:val="en-US" w:eastAsia="zh-CN"/>
        </w:rPr>
      </w:pPr>
      <w:r>
        <w:rPr>
          <w:rFonts w:hint="eastAsia"/>
          <w:spacing w:val="-6"/>
          <w:lang w:val="en-US" w:eastAsia="zh-CN"/>
        </w:rPr>
        <w:t>公务用车运行维护费4万元），较2025 年预算无</w:t>
      </w:r>
      <w:r>
        <w:rPr>
          <w:rFonts w:hint="eastAsia"/>
          <w:spacing w:val="-4"/>
          <w:lang w:val="en-US" w:eastAsia="zh-CN"/>
        </w:rPr>
        <w:t>变化。</w:t>
      </w:r>
    </w:p>
    <w:p w14:paraId="639538A7">
      <w:pPr>
        <w:pStyle w:val="2"/>
        <w:keepNext w:val="0"/>
        <w:keepLines w:val="0"/>
        <w:pageBreakBefore w:val="0"/>
        <w:widowControl/>
        <w:kinsoku w:val="0"/>
        <w:wordWrap/>
        <w:overflowPunct/>
        <w:topLinePunct w:val="0"/>
        <w:autoSpaceDE w:val="0"/>
        <w:autoSpaceDN w:val="0"/>
        <w:bidi w:val="0"/>
        <w:adjustRightInd w:val="0"/>
        <w:snapToGrid w:val="0"/>
        <w:spacing w:before="268" w:line="240" w:lineRule="auto"/>
        <w:ind w:left="567"/>
        <w:textAlignment w:val="baseline"/>
        <w:outlineLvl w:val="2"/>
        <w:rPr>
          <w:rFonts w:hint="eastAsia"/>
          <w:b/>
          <w:bCs/>
          <w:spacing w:val="-5"/>
          <w:lang w:val="en-US" w:eastAsia="zh-CN"/>
        </w:rPr>
      </w:pPr>
      <w:r>
        <w:rPr>
          <w:rFonts w:hint="eastAsia"/>
          <w:b/>
          <w:bCs/>
          <w:spacing w:val="-5"/>
          <w:lang w:val="en-US" w:eastAsia="zh-CN"/>
        </w:rPr>
        <w:t>（二）培训费预算情况说明</w:t>
      </w:r>
    </w:p>
    <w:p w14:paraId="10BE2FB3">
      <w:pPr>
        <w:pStyle w:val="2"/>
        <w:keepNext w:val="0"/>
        <w:keepLines w:val="0"/>
        <w:pageBreakBefore w:val="0"/>
        <w:widowControl/>
        <w:kinsoku w:val="0"/>
        <w:wordWrap/>
        <w:overflowPunct/>
        <w:topLinePunct w:val="0"/>
        <w:autoSpaceDE w:val="0"/>
        <w:autoSpaceDN w:val="0"/>
        <w:bidi w:val="0"/>
        <w:adjustRightInd w:val="0"/>
        <w:snapToGrid w:val="0"/>
        <w:spacing w:before="237" w:line="240" w:lineRule="auto"/>
        <w:ind w:left="535"/>
        <w:textAlignment w:val="baseline"/>
        <w:rPr>
          <w:rFonts w:hint="eastAsia"/>
          <w:spacing w:val="-4"/>
          <w:lang w:val="en-US" w:eastAsia="zh-CN"/>
        </w:rPr>
      </w:pPr>
      <w:r>
        <w:rPr>
          <w:rFonts w:hint="eastAsia"/>
          <w:spacing w:val="-4"/>
          <w:lang w:val="en-US" w:eastAsia="zh-CN"/>
        </w:rPr>
        <w:t>4．培训费0万元。</w:t>
      </w:r>
    </w:p>
    <w:p w14:paraId="55428A18">
      <w:pPr>
        <w:pStyle w:val="2"/>
        <w:keepNext w:val="0"/>
        <w:keepLines w:val="0"/>
        <w:pageBreakBefore w:val="0"/>
        <w:widowControl/>
        <w:kinsoku w:val="0"/>
        <w:wordWrap/>
        <w:overflowPunct/>
        <w:topLinePunct w:val="0"/>
        <w:autoSpaceDE w:val="0"/>
        <w:autoSpaceDN w:val="0"/>
        <w:bidi w:val="0"/>
        <w:adjustRightInd w:val="0"/>
        <w:snapToGrid w:val="0"/>
        <w:spacing w:before="268" w:line="240" w:lineRule="auto"/>
        <w:ind w:left="567"/>
        <w:textAlignment w:val="baseline"/>
        <w:outlineLvl w:val="2"/>
        <w:rPr>
          <w:rFonts w:hint="eastAsia"/>
          <w:b/>
          <w:bCs/>
          <w:spacing w:val="-5"/>
          <w:lang w:val="en-US" w:eastAsia="zh-CN"/>
        </w:rPr>
      </w:pPr>
      <w:r>
        <w:rPr>
          <w:rFonts w:hint="eastAsia"/>
          <w:b/>
          <w:bCs/>
          <w:spacing w:val="-5"/>
          <w:lang w:val="en-US" w:eastAsia="zh-CN"/>
        </w:rPr>
        <w:t>（三）会议费预算情况说明</w:t>
      </w:r>
    </w:p>
    <w:p w14:paraId="229560FE">
      <w:pPr>
        <w:pStyle w:val="2"/>
        <w:keepNext w:val="0"/>
        <w:keepLines w:val="0"/>
        <w:pageBreakBefore w:val="0"/>
        <w:widowControl/>
        <w:kinsoku w:val="0"/>
        <w:wordWrap/>
        <w:overflowPunct/>
        <w:topLinePunct w:val="0"/>
        <w:autoSpaceDE w:val="0"/>
        <w:autoSpaceDN w:val="0"/>
        <w:bidi w:val="0"/>
        <w:adjustRightInd w:val="0"/>
        <w:snapToGrid w:val="0"/>
        <w:spacing w:before="237" w:line="500" w:lineRule="exact"/>
        <w:ind w:firstLine="554"/>
        <w:textAlignment w:val="baseline"/>
        <w:rPr>
          <w:spacing w:val="-7"/>
        </w:rPr>
      </w:pPr>
      <w:r>
        <w:rPr>
          <w:spacing w:val="-7"/>
        </w:rPr>
        <w:t>5．会议费</w:t>
      </w:r>
      <w:r>
        <w:rPr>
          <w:spacing w:val="-57"/>
        </w:rPr>
        <w:t xml:space="preserve"> </w:t>
      </w:r>
      <w:r>
        <w:rPr>
          <w:rFonts w:hint="eastAsia"/>
          <w:spacing w:val="-7"/>
          <w:lang w:val="en-US" w:eastAsia="zh-CN"/>
        </w:rPr>
        <w:t>0</w:t>
      </w:r>
      <w:r>
        <w:rPr>
          <w:spacing w:val="-7"/>
        </w:rPr>
        <w:t>万元</w:t>
      </w:r>
    </w:p>
    <w:p w14:paraId="788EAD12">
      <w:pPr>
        <w:pStyle w:val="2"/>
        <w:spacing w:before="237" w:line="356" w:lineRule="auto"/>
        <w:ind w:firstLine="554"/>
        <w:rPr>
          <w:spacing w:val="-7"/>
        </w:rPr>
      </w:pPr>
      <w:r>
        <w:drawing>
          <wp:anchor distT="0" distB="0" distL="114300" distR="114300" simplePos="0" relativeHeight="251660288" behindDoc="0" locked="0" layoutInCell="1" allowOverlap="1">
            <wp:simplePos x="0" y="0"/>
            <wp:positionH relativeFrom="column">
              <wp:posOffset>403860</wp:posOffset>
            </wp:positionH>
            <wp:positionV relativeFrom="paragraph">
              <wp:posOffset>81915</wp:posOffset>
            </wp:positionV>
            <wp:extent cx="4819650" cy="2325370"/>
            <wp:effectExtent l="5080" t="4445" r="13970" b="13335"/>
            <wp:wrapNone/>
            <wp:docPr id="1"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1B1A8D9B">
      <w:pPr>
        <w:pStyle w:val="2"/>
        <w:spacing w:before="237" w:line="356" w:lineRule="auto"/>
        <w:ind w:firstLine="554"/>
        <w:rPr>
          <w:spacing w:val="-7"/>
        </w:rPr>
      </w:pPr>
    </w:p>
    <w:p w14:paraId="46B4B064">
      <w:pPr>
        <w:pStyle w:val="2"/>
        <w:spacing w:before="237" w:line="356" w:lineRule="auto"/>
        <w:ind w:firstLine="554"/>
        <w:rPr>
          <w:spacing w:val="-7"/>
        </w:rPr>
      </w:pPr>
    </w:p>
    <w:p w14:paraId="76EC9BF2">
      <w:pPr>
        <w:pStyle w:val="2"/>
        <w:spacing w:before="237" w:line="356" w:lineRule="auto"/>
        <w:ind w:firstLine="554"/>
        <w:rPr>
          <w:spacing w:val="-7"/>
        </w:rPr>
      </w:pPr>
    </w:p>
    <w:p w14:paraId="558D25F5">
      <w:pPr>
        <w:spacing w:line="245" w:lineRule="auto"/>
        <w:rPr>
          <w:rFonts w:ascii="Arial"/>
          <w:sz w:val="21"/>
        </w:rPr>
      </w:pPr>
    </w:p>
    <w:p w14:paraId="62EAB846">
      <w:pPr>
        <w:pStyle w:val="2"/>
        <w:spacing w:before="91" w:line="217" w:lineRule="auto"/>
        <w:outlineLvl w:val="1"/>
        <w:rPr>
          <w:b/>
          <w:bCs/>
          <w:spacing w:val="-3"/>
        </w:rPr>
      </w:pPr>
    </w:p>
    <w:p w14:paraId="0DF91387">
      <w:pPr>
        <w:pStyle w:val="2"/>
        <w:keepNext w:val="0"/>
        <w:keepLines w:val="0"/>
        <w:pageBreakBefore w:val="0"/>
        <w:widowControl/>
        <w:kinsoku w:val="0"/>
        <w:wordWrap/>
        <w:overflowPunct/>
        <w:topLinePunct w:val="0"/>
        <w:autoSpaceDE w:val="0"/>
        <w:autoSpaceDN w:val="0"/>
        <w:bidi w:val="0"/>
        <w:adjustRightInd w:val="0"/>
        <w:snapToGrid w:val="0"/>
        <w:spacing w:before="91" w:line="360" w:lineRule="auto"/>
        <w:ind w:left="562"/>
        <w:textAlignment w:val="baseline"/>
        <w:outlineLvl w:val="1"/>
      </w:pPr>
      <w:r>
        <w:rPr>
          <w:b/>
          <w:bCs/>
          <w:spacing w:val="-3"/>
        </w:rPr>
        <w:t>六、一般公共预算财政拨款机关运行经费情况</w:t>
      </w:r>
    </w:p>
    <w:p w14:paraId="7915C6ED">
      <w:pPr>
        <w:pStyle w:val="2"/>
        <w:keepNext w:val="0"/>
        <w:keepLines w:val="0"/>
        <w:pageBreakBefore w:val="0"/>
        <w:widowControl/>
        <w:kinsoku w:val="0"/>
        <w:wordWrap/>
        <w:overflowPunct/>
        <w:topLinePunct w:val="0"/>
        <w:autoSpaceDE w:val="0"/>
        <w:autoSpaceDN w:val="0"/>
        <w:bidi w:val="0"/>
        <w:adjustRightInd w:val="0"/>
        <w:snapToGrid w:val="0"/>
        <w:spacing w:before="58" w:line="360" w:lineRule="auto"/>
        <w:ind w:left="7" w:right="23" w:firstLine="559"/>
        <w:jc w:val="both"/>
        <w:textAlignment w:val="baseline"/>
      </w:pPr>
      <w:r>
        <w:rPr>
          <w:spacing w:val="-7"/>
        </w:rPr>
        <w:t>机关运行经费</w:t>
      </w:r>
      <w:r>
        <w:rPr>
          <w:rFonts w:hint="eastAsia" w:cs="仿宋_GB2312"/>
          <w:w w:val="100"/>
          <w:lang w:val="en-US" w:eastAsia="zh-CN"/>
        </w:rPr>
        <w:t>16.84</w:t>
      </w:r>
      <w:r>
        <w:rPr>
          <w:rFonts w:ascii="仿宋_GB2312" w:hAnsi="仿宋_GB2312" w:eastAsia="仿宋_GB2312" w:cs="仿宋_GB2312"/>
          <w:spacing w:val="-70"/>
          <w:w w:val="100"/>
        </w:rPr>
        <w:t xml:space="preserve"> </w:t>
      </w:r>
      <w:r>
        <w:rPr>
          <w:spacing w:val="-7"/>
        </w:rPr>
        <w:t>万元，比</w:t>
      </w:r>
      <w:r>
        <w:rPr>
          <w:spacing w:val="-58"/>
        </w:rPr>
        <w:t xml:space="preserve"> </w:t>
      </w:r>
      <w:r>
        <w:rPr>
          <w:spacing w:val="-7"/>
        </w:rPr>
        <w:t>202</w:t>
      </w:r>
      <w:r>
        <w:rPr>
          <w:rFonts w:hint="eastAsia"/>
          <w:spacing w:val="-7"/>
          <w:lang w:val="en-US" w:eastAsia="zh-CN"/>
        </w:rPr>
        <w:t>5</w:t>
      </w:r>
      <w:r>
        <w:rPr>
          <w:spacing w:val="-47"/>
        </w:rPr>
        <w:t xml:space="preserve"> </w:t>
      </w:r>
      <w:r>
        <w:rPr>
          <w:spacing w:val="-7"/>
        </w:rPr>
        <w:t>年预算</w:t>
      </w:r>
      <w:r>
        <w:rPr>
          <w:rFonts w:hint="eastAsia"/>
          <w:spacing w:val="-7"/>
          <w:lang w:val="en-US" w:eastAsia="zh-CN"/>
        </w:rPr>
        <w:t>减少</w:t>
      </w:r>
      <w:r>
        <w:rPr>
          <w:spacing w:val="-55"/>
        </w:rPr>
        <w:t xml:space="preserve"> </w:t>
      </w:r>
      <w:r>
        <w:rPr>
          <w:rFonts w:hint="eastAsia" w:cs="仿宋_GB2312"/>
          <w:w w:val="100"/>
          <w:lang w:val="en-US" w:eastAsia="zh-CN"/>
        </w:rPr>
        <w:t>2.12</w:t>
      </w:r>
      <w:r>
        <w:rPr>
          <w:spacing w:val="-8"/>
        </w:rPr>
        <w:t>万元，</w:t>
      </w:r>
      <w:r>
        <w:rPr>
          <w:rFonts w:hint="eastAsia"/>
          <w:spacing w:val="-8"/>
          <w:lang w:val="en-US" w:eastAsia="zh-CN"/>
        </w:rPr>
        <w:t>减少11.18</w:t>
      </w:r>
      <w:r>
        <w:rPr>
          <w:spacing w:val="-8"/>
        </w:rPr>
        <w:t>%，</w:t>
      </w:r>
      <w:r>
        <w:t xml:space="preserve"> </w:t>
      </w:r>
      <w:r>
        <w:rPr>
          <w:rFonts w:hint="eastAsia"/>
          <w:spacing w:val="-1"/>
          <w:lang w:val="en-US" w:eastAsia="zh-CN"/>
        </w:rPr>
        <w:t>减少</w:t>
      </w:r>
      <w:r>
        <w:rPr>
          <w:spacing w:val="-1"/>
        </w:rPr>
        <w:t>的主要原因是</w:t>
      </w:r>
      <w:r>
        <w:rPr>
          <w:rFonts w:hint="eastAsia"/>
          <w:w w:val="100"/>
          <w:lang w:eastAsia="zh-CN"/>
        </w:rPr>
        <w:t>人员</w:t>
      </w:r>
      <w:r>
        <w:rPr>
          <w:rFonts w:hint="eastAsia"/>
          <w:w w:val="100"/>
          <w:lang w:val="en-US" w:eastAsia="zh-CN"/>
        </w:rPr>
        <w:t>减少</w:t>
      </w:r>
      <w:r>
        <w:rPr>
          <w:rFonts w:hint="eastAsia"/>
          <w:w w:val="100"/>
          <w:lang w:eastAsia="zh-CN"/>
        </w:rPr>
        <w:t>公用经费预算</w:t>
      </w:r>
      <w:r>
        <w:rPr>
          <w:rFonts w:hint="eastAsia"/>
          <w:w w:val="100"/>
          <w:lang w:val="en-US" w:eastAsia="zh-CN"/>
        </w:rPr>
        <w:t>相应减少</w:t>
      </w:r>
      <w:r>
        <w:rPr>
          <w:rFonts w:hint="eastAsia"/>
          <w:w w:val="100"/>
          <w:lang w:eastAsia="zh-CN"/>
        </w:rPr>
        <w:t>。</w:t>
      </w:r>
    </w:p>
    <w:p w14:paraId="4173E0E9">
      <w:pPr>
        <w:pStyle w:val="2"/>
        <w:spacing w:before="70" w:line="219" w:lineRule="auto"/>
        <w:ind w:left="575"/>
        <w:outlineLvl w:val="1"/>
      </w:pPr>
      <w:r>
        <w:rPr>
          <w:b/>
          <w:bCs/>
          <w:spacing w:val="-5"/>
        </w:rPr>
        <w:t>七、政府采购安排情况</w:t>
      </w:r>
    </w:p>
    <w:p w14:paraId="58EA9A3B">
      <w:pPr>
        <w:pStyle w:val="2"/>
        <w:spacing w:before="236" w:line="356" w:lineRule="auto"/>
        <w:ind w:right="189" w:firstLine="561"/>
      </w:pPr>
      <w:r>
        <w:rPr>
          <w:spacing w:val="-2"/>
        </w:rPr>
        <w:t>202</w:t>
      </w:r>
      <w:r>
        <w:rPr>
          <w:rFonts w:hint="eastAsia"/>
          <w:spacing w:val="-2"/>
          <w:lang w:val="en-US" w:eastAsia="zh-CN"/>
        </w:rPr>
        <w:t>6</w:t>
      </w:r>
      <w:r>
        <w:rPr>
          <w:spacing w:val="-2"/>
        </w:rPr>
        <w:t>年</w:t>
      </w:r>
      <w:r>
        <w:rPr>
          <w:rFonts w:hint="eastAsia"/>
          <w:spacing w:val="-2"/>
          <w:lang w:eastAsia="zh-CN"/>
        </w:rPr>
        <w:t>，</w:t>
      </w:r>
      <w:r>
        <w:rPr>
          <w:rFonts w:hint="eastAsia"/>
          <w:spacing w:val="-2"/>
          <w:lang w:val="en-US" w:eastAsia="zh-CN"/>
        </w:rPr>
        <w:t>本单位无</w:t>
      </w:r>
      <w:r>
        <w:rPr>
          <w:spacing w:val="-2"/>
        </w:rPr>
        <w:t>政府采购预算</w:t>
      </w:r>
      <w:r>
        <w:rPr>
          <w:spacing w:val="-4"/>
        </w:rPr>
        <w:t>。</w:t>
      </w:r>
    </w:p>
    <w:p w14:paraId="22298DEE">
      <w:pPr>
        <w:pStyle w:val="2"/>
        <w:spacing w:before="42" w:line="354" w:lineRule="auto"/>
        <w:ind w:left="7" w:right="104" w:firstLine="554"/>
      </w:pPr>
      <w:r>
        <w:rPr>
          <w:spacing w:val="-4"/>
        </w:rPr>
        <w:t>202</w:t>
      </w:r>
      <w:r>
        <w:rPr>
          <w:rFonts w:hint="eastAsia"/>
          <w:spacing w:val="-4"/>
          <w:lang w:val="en-US" w:eastAsia="zh-CN"/>
        </w:rPr>
        <w:t>6</w:t>
      </w:r>
      <w:r>
        <w:rPr>
          <w:spacing w:val="-4"/>
        </w:rPr>
        <w:t>年，</w:t>
      </w:r>
      <w:r>
        <w:rPr>
          <w:rFonts w:hint="eastAsia"/>
          <w:spacing w:val="-4"/>
          <w:lang w:val="en-US" w:eastAsia="zh-CN"/>
        </w:rPr>
        <w:t>本单位</w:t>
      </w:r>
      <w:r>
        <w:rPr>
          <w:spacing w:val="-4"/>
        </w:rPr>
        <w:t>面向中小企业预留政府采</w:t>
      </w:r>
      <w:r>
        <w:rPr>
          <w:spacing w:val="-5"/>
        </w:rPr>
        <w:t>购项目预算金额</w:t>
      </w:r>
      <w:r>
        <w:rPr>
          <w:spacing w:val="-56"/>
        </w:rPr>
        <w:t xml:space="preserve"> </w:t>
      </w:r>
      <w:r>
        <w:rPr>
          <w:spacing w:val="-5"/>
        </w:rPr>
        <w:t>0.00</w:t>
      </w:r>
      <w:r>
        <w:rPr>
          <w:spacing w:val="-51"/>
        </w:rPr>
        <w:t xml:space="preserve"> </w:t>
      </w:r>
      <w:r>
        <w:rPr>
          <w:spacing w:val="-5"/>
        </w:rPr>
        <w:t>万元，小微企</w:t>
      </w:r>
      <w:r>
        <w:rPr>
          <w:spacing w:val="-4"/>
        </w:rPr>
        <w:t>业预留政府采购项目预算金额</w:t>
      </w:r>
      <w:r>
        <w:rPr>
          <w:spacing w:val="-46"/>
        </w:rPr>
        <w:t xml:space="preserve"> </w:t>
      </w:r>
      <w:r>
        <w:rPr>
          <w:spacing w:val="-4"/>
        </w:rPr>
        <w:t>0.00</w:t>
      </w:r>
      <w:r>
        <w:rPr>
          <w:spacing w:val="-50"/>
        </w:rPr>
        <w:t xml:space="preserve"> </w:t>
      </w:r>
      <w:r>
        <w:rPr>
          <w:spacing w:val="-4"/>
        </w:rPr>
        <w:t>万元。</w:t>
      </w:r>
    </w:p>
    <w:p w14:paraId="4A96F84C">
      <w:pPr>
        <w:pStyle w:val="2"/>
        <w:spacing w:before="77" w:line="219" w:lineRule="auto"/>
        <w:ind w:left="568"/>
        <w:outlineLvl w:val="1"/>
      </w:pPr>
      <w:r>
        <w:rPr>
          <w:b/>
          <w:bCs/>
          <w:spacing w:val="-4"/>
        </w:rPr>
        <w:t>八、国有资产占用情况</w:t>
      </w:r>
    </w:p>
    <w:p w14:paraId="506DD430">
      <w:pPr>
        <w:pStyle w:val="2"/>
        <w:spacing w:before="239" w:line="359" w:lineRule="auto"/>
        <w:ind w:left="2" w:firstLine="567"/>
        <w:jc w:val="both"/>
      </w:pPr>
      <w:r>
        <w:rPr>
          <w:spacing w:val="-7"/>
        </w:rPr>
        <w:t>上年末固定资产金额为</w:t>
      </w:r>
      <w:r>
        <w:rPr>
          <w:rFonts w:hint="eastAsia"/>
          <w:spacing w:val="-7"/>
          <w:lang w:val="en-US" w:eastAsia="zh-CN"/>
        </w:rPr>
        <w:t>36.29</w:t>
      </w:r>
      <w:r>
        <w:rPr>
          <w:spacing w:val="-7"/>
        </w:rPr>
        <w:t>万元。其中：</w:t>
      </w:r>
      <w:r>
        <w:rPr>
          <w:spacing w:val="-4"/>
        </w:rPr>
        <w:t>预算部门共有公务用车</w:t>
      </w:r>
      <w:r>
        <w:rPr>
          <w:spacing w:val="-39"/>
        </w:rPr>
        <w:t xml:space="preserve"> </w:t>
      </w:r>
      <w:r>
        <w:rPr>
          <w:spacing w:val="-4"/>
        </w:rPr>
        <w:t>1</w:t>
      </w:r>
      <w:r>
        <w:rPr>
          <w:spacing w:val="-53"/>
        </w:rPr>
        <w:t xml:space="preserve"> </w:t>
      </w:r>
      <w:r>
        <w:rPr>
          <w:spacing w:val="-4"/>
        </w:rPr>
        <w:t>辆，价值</w:t>
      </w:r>
      <w:r>
        <w:rPr>
          <w:spacing w:val="-55"/>
        </w:rPr>
        <w:t xml:space="preserve"> </w:t>
      </w:r>
      <w:r>
        <w:rPr>
          <w:rFonts w:hint="eastAsia"/>
          <w:spacing w:val="-4"/>
          <w:lang w:val="en-US" w:eastAsia="zh-CN"/>
        </w:rPr>
        <w:t>19.8</w:t>
      </w:r>
      <w:r>
        <w:rPr>
          <w:spacing w:val="-51"/>
        </w:rPr>
        <w:t xml:space="preserve"> </w:t>
      </w:r>
      <w:r>
        <w:rPr>
          <w:spacing w:val="-4"/>
        </w:rPr>
        <w:t>万元</w:t>
      </w:r>
      <w:r>
        <w:rPr>
          <w:spacing w:val="-5"/>
        </w:rPr>
        <w:t>。</w:t>
      </w:r>
    </w:p>
    <w:p w14:paraId="609F39DC">
      <w:pPr>
        <w:pStyle w:val="2"/>
        <w:spacing w:before="76" w:line="218" w:lineRule="auto"/>
        <w:ind w:left="579"/>
        <w:outlineLvl w:val="1"/>
      </w:pPr>
      <w:r>
        <w:rPr>
          <w:b/>
          <w:bCs/>
          <w:spacing w:val="-5"/>
        </w:rPr>
        <w:t>九、其他重要事项情况说明</w:t>
      </w:r>
    </w:p>
    <w:p w14:paraId="0B523606">
      <w:pPr>
        <w:pStyle w:val="2"/>
        <w:spacing w:before="270" w:line="216" w:lineRule="auto"/>
        <w:ind w:left="570"/>
        <w:outlineLvl w:val="2"/>
      </w:pPr>
      <w:r>
        <w:rPr>
          <w:b/>
          <w:bCs/>
          <w:spacing w:val="-5"/>
        </w:rPr>
        <w:t>（一）政府性基金预算支出情况</w:t>
      </w:r>
    </w:p>
    <w:p w14:paraId="512809B8">
      <w:pPr>
        <w:pStyle w:val="2"/>
        <w:spacing w:before="242" w:line="216" w:lineRule="auto"/>
        <w:ind w:left="569"/>
      </w:pPr>
      <w:r>
        <w:rPr>
          <w:spacing w:val="-2"/>
        </w:rPr>
        <w:t>未安排预算，政府性基金预算支出情况表为空表。</w:t>
      </w:r>
    </w:p>
    <w:p w14:paraId="4A3F0454">
      <w:pPr>
        <w:pStyle w:val="2"/>
        <w:spacing w:before="261" w:line="219" w:lineRule="auto"/>
        <w:ind w:left="570"/>
        <w:outlineLvl w:val="2"/>
      </w:pPr>
      <w:r>
        <w:rPr>
          <w:b/>
          <w:bCs/>
          <w:spacing w:val="-6"/>
        </w:rPr>
        <w:t>（二）非税收入情况</w:t>
      </w:r>
    </w:p>
    <w:p w14:paraId="231F3CC8">
      <w:pPr>
        <w:pStyle w:val="2"/>
        <w:spacing w:before="237" w:line="354" w:lineRule="auto"/>
        <w:ind w:left="10" w:right="98" w:firstLine="550"/>
      </w:pPr>
      <w:r>
        <w:rPr>
          <w:spacing w:val="-10"/>
        </w:rPr>
        <w:t>202</w:t>
      </w:r>
      <w:r>
        <w:rPr>
          <w:rFonts w:hint="eastAsia"/>
          <w:spacing w:val="-10"/>
          <w:lang w:val="en-US" w:eastAsia="zh-CN"/>
        </w:rPr>
        <w:t>6</w:t>
      </w:r>
      <w:r>
        <w:rPr>
          <w:spacing w:val="-43"/>
        </w:rPr>
        <w:t xml:space="preserve"> </w:t>
      </w:r>
      <w:r>
        <w:rPr>
          <w:spacing w:val="-10"/>
        </w:rPr>
        <w:t>年本</w:t>
      </w:r>
      <w:r>
        <w:rPr>
          <w:rFonts w:hint="eastAsia"/>
          <w:spacing w:val="-10"/>
          <w:lang w:val="en-US" w:eastAsia="zh-CN"/>
        </w:rPr>
        <w:t>单位无非税收入。</w:t>
      </w:r>
      <w:r>
        <w:rPr>
          <w:spacing w:val="-51"/>
        </w:rPr>
        <w:t xml:space="preserve"> </w:t>
      </w:r>
    </w:p>
    <w:p w14:paraId="3988C5FB">
      <w:pPr>
        <w:pStyle w:val="2"/>
        <w:spacing w:before="68" w:line="219" w:lineRule="auto"/>
        <w:ind w:left="570"/>
        <w:outlineLvl w:val="2"/>
      </w:pPr>
      <w:r>
        <w:rPr>
          <w:b/>
          <w:bCs/>
          <w:spacing w:val="-6"/>
        </w:rPr>
        <w:t>（三）重点项目情况</w:t>
      </w:r>
    </w:p>
    <w:p w14:paraId="0F2CA243">
      <w:pPr>
        <w:pStyle w:val="2"/>
        <w:spacing w:before="242" w:line="216" w:lineRule="auto"/>
        <w:ind w:left="569"/>
        <w:rPr>
          <w:spacing w:val="-2"/>
        </w:rPr>
      </w:pPr>
      <w:r>
        <w:rPr>
          <w:rFonts w:hint="eastAsia" w:cs="仿宋_GB2312"/>
          <w:w w:val="100"/>
          <w:lang w:val="en-US" w:eastAsia="zh-CN"/>
        </w:rPr>
        <w:t>2026年未</w:t>
      </w:r>
      <w:r>
        <w:rPr>
          <w:rFonts w:hint="eastAsia"/>
          <w:spacing w:val="-2"/>
          <w:lang w:val="en-US" w:eastAsia="zh-CN"/>
        </w:rPr>
        <w:t>预算项目经费</w:t>
      </w:r>
      <w:r>
        <w:rPr>
          <w:spacing w:val="-2"/>
        </w:rPr>
        <w:t>。</w:t>
      </w:r>
    </w:p>
    <w:p w14:paraId="432F47B2">
      <w:pPr>
        <w:pStyle w:val="2"/>
        <w:spacing w:before="242" w:line="216" w:lineRule="auto"/>
        <w:ind w:left="569"/>
        <w:rPr>
          <w:b/>
          <w:bCs/>
          <w:spacing w:val="-6"/>
        </w:rPr>
      </w:pPr>
      <w:r>
        <w:rPr>
          <w:spacing w:val="-2"/>
        </w:rPr>
        <w:t>（</w:t>
      </w:r>
      <w:r>
        <w:rPr>
          <w:b/>
          <w:bCs/>
          <w:spacing w:val="-6"/>
        </w:rPr>
        <w:t>四）部门管理转移支付情况</w:t>
      </w:r>
    </w:p>
    <w:p w14:paraId="54985B6B">
      <w:pPr>
        <w:pStyle w:val="2"/>
        <w:spacing w:before="243" w:line="215" w:lineRule="auto"/>
        <w:ind w:left="563"/>
      </w:pPr>
      <w:r>
        <w:rPr>
          <w:spacing w:val="-3"/>
        </w:rPr>
        <w:t>未安排预算，部门管理转移支付表为空表。</w:t>
      </w:r>
    </w:p>
    <w:p w14:paraId="0D8D4DC0">
      <w:pPr>
        <w:pStyle w:val="2"/>
        <w:keepNext w:val="0"/>
        <w:keepLines w:val="0"/>
        <w:pageBreakBefore w:val="0"/>
        <w:widowControl/>
        <w:kinsoku w:val="0"/>
        <w:wordWrap/>
        <w:overflowPunct/>
        <w:topLinePunct w:val="0"/>
        <w:autoSpaceDE w:val="0"/>
        <w:autoSpaceDN w:val="0"/>
        <w:bidi w:val="0"/>
        <w:adjustRightInd w:val="0"/>
        <w:snapToGrid w:val="0"/>
        <w:spacing w:before="234" w:line="215" w:lineRule="auto"/>
        <w:ind w:left="573"/>
        <w:textAlignment w:val="baseline"/>
      </w:pPr>
      <w:r>
        <w:rPr>
          <w:spacing w:val="-5"/>
        </w:rPr>
        <w:t>1．一般性转移支付未安排。</w:t>
      </w:r>
    </w:p>
    <w:p w14:paraId="149E8AB3">
      <w:pPr>
        <w:pStyle w:val="2"/>
        <w:keepNext w:val="0"/>
        <w:keepLines w:val="0"/>
        <w:pageBreakBefore w:val="0"/>
        <w:widowControl/>
        <w:kinsoku w:val="0"/>
        <w:wordWrap/>
        <w:overflowPunct/>
        <w:topLinePunct w:val="0"/>
        <w:autoSpaceDE w:val="0"/>
        <w:autoSpaceDN w:val="0"/>
        <w:bidi w:val="0"/>
        <w:adjustRightInd w:val="0"/>
        <w:snapToGrid w:val="0"/>
        <w:spacing w:before="235" w:line="215" w:lineRule="auto"/>
        <w:ind w:left="556"/>
        <w:textAlignment w:val="baseline"/>
      </w:pPr>
      <w:r>
        <w:rPr>
          <w:spacing w:val="-3"/>
        </w:rPr>
        <w:t>2．专项转移支付未安排。</w:t>
      </w:r>
    </w:p>
    <w:p w14:paraId="3B7084B5">
      <w:pPr>
        <w:pStyle w:val="2"/>
        <w:keepNext w:val="0"/>
        <w:keepLines w:val="0"/>
        <w:pageBreakBefore w:val="0"/>
        <w:widowControl/>
        <w:kinsoku w:val="0"/>
        <w:wordWrap/>
        <w:overflowPunct/>
        <w:topLinePunct w:val="0"/>
        <w:autoSpaceDE w:val="0"/>
        <w:autoSpaceDN w:val="0"/>
        <w:bidi w:val="0"/>
        <w:adjustRightInd w:val="0"/>
        <w:snapToGrid w:val="0"/>
        <w:spacing w:before="233" w:line="216" w:lineRule="auto"/>
        <w:ind w:left="556"/>
        <w:textAlignment w:val="baseline"/>
        <w:rPr>
          <w:spacing w:val="-3"/>
        </w:rPr>
      </w:pPr>
      <w:r>
        <w:rPr>
          <w:spacing w:val="-3"/>
        </w:rPr>
        <w:t>3．政府性基金转移支付未安排。</w:t>
      </w:r>
    </w:p>
    <w:p w14:paraId="1BE12A3B">
      <w:pPr>
        <w:pStyle w:val="2"/>
        <w:keepNext w:val="0"/>
        <w:keepLines w:val="0"/>
        <w:pageBreakBefore w:val="0"/>
        <w:widowControl/>
        <w:kinsoku w:val="0"/>
        <w:wordWrap/>
        <w:overflowPunct/>
        <w:topLinePunct w:val="0"/>
        <w:autoSpaceDE w:val="0"/>
        <w:autoSpaceDN w:val="0"/>
        <w:bidi w:val="0"/>
        <w:adjustRightInd w:val="0"/>
        <w:snapToGrid w:val="0"/>
        <w:spacing w:before="233" w:line="216" w:lineRule="auto"/>
        <w:ind w:left="556"/>
        <w:textAlignment w:val="baseline"/>
      </w:pPr>
      <w:r>
        <w:rPr>
          <w:b/>
          <w:bCs/>
          <w:spacing w:val="-5"/>
        </w:rPr>
        <w:t>（五）国有资本经营预算支出情况</w:t>
      </w:r>
    </w:p>
    <w:p w14:paraId="5AA55F2E">
      <w:pPr>
        <w:pStyle w:val="2"/>
        <w:spacing w:before="238" w:line="218" w:lineRule="auto"/>
        <w:ind w:left="563"/>
      </w:pPr>
      <w:r>
        <w:rPr>
          <w:spacing w:val="-2"/>
        </w:rPr>
        <w:t>未安排预算，国有资本经营预算支出情况表为空表。</w:t>
      </w:r>
    </w:p>
    <w:p w14:paraId="0C2DA313">
      <w:pPr>
        <w:pStyle w:val="2"/>
        <w:spacing w:before="262" w:line="218" w:lineRule="auto"/>
        <w:ind w:left="571"/>
        <w:outlineLvl w:val="1"/>
      </w:pPr>
      <w:r>
        <w:rPr>
          <w:b/>
          <w:bCs/>
          <w:spacing w:val="-5"/>
        </w:rPr>
        <w:t>十、预算绩效管理情况</w:t>
      </w:r>
    </w:p>
    <w:p w14:paraId="756B2C16">
      <w:pPr>
        <w:spacing w:before="237" w:line="216" w:lineRule="auto"/>
        <w:ind w:left="575"/>
        <w:outlineLvl w:val="2"/>
        <w:rPr>
          <w:rFonts w:ascii="楷体" w:hAnsi="楷体" w:eastAsia="楷体" w:cs="楷体"/>
          <w:sz w:val="28"/>
          <w:szCs w:val="28"/>
        </w:rPr>
      </w:pPr>
      <w:r>
        <w:rPr>
          <w:rFonts w:ascii="楷体" w:hAnsi="楷体" w:eastAsia="楷体" w:cs="楷体"/>
          <w:b/>
          <w:bCs/>
          <w:spacing w:val="-5"/>
          <w:sz w:val="28"/>
          <w:szCs w:val="28"/>
        </w:rPr>
        <w:t>（一）202</w:t>
      </w:r>
      <w:r>
        <w:rPr>
          <w:rFonts w:hint="eastAsia" w:ascii="楷体" w:hAnsi="楷体" w:eastAsia="楷体" w:cs="楷体"/>
          <w:b/>
          <w:bCs/>
          <w:spacing w:val="-5"/>
          <w:sz w:val="28"/>
          <w:szCs w:val="28"/>
          <w:lang w:val="en-US" w:eastAsia="zh-CN"/>
        </w:rPr>
        <w:t>5</w:t>
      </w:r>
      <w:r>
        <w:rPr>
          <w:rFonts w:ascii="楷体" w:hAnsi="楷体" w:eastAsia="楷体" w:cs="楷体"/>
          <w:b/>
          <w:bCs/>
          <w:spacing w:val="-5"/>
          <w:sz w:val="28"/>
          <w:szCs w:val="28"/>
        </w:rPr>
        <w:t>年预算绩效管理工作情况</w:t>
      </w:r>
    </w:p>
    <w:p w14:paraId="59ED99B2">
      <w:pPr>
        <w:pStyle w:val="2"/>
        <w:spacing w:before="234" w:line="359" w:lineRule="auto"/>
        <w:ind w:left="3" w:firstLine="558"/>
        <w:rPr>
          <w:rFonts w:hint="eastAsia" w:eastAsia="仿宋"/>
          <w:spacing w:val="-3"/>
          <w:lang w:val="en-US" w:eastAsia="zh-CN"/>
        </w:rPr>
      </w:pPr>
      <w:r>
        <w:rPr>
          <w:spacing w:val="-7"/>
        </w:rPr>
        <w:t>按照《中共中央</w:t>
      </w:r>
      <w:r>
        <w:rPr>
          <w:spacing w:val="64"/>
        </w:rPr>
        <w:t xml:space="preserve"> </w:t>
      </w:r>
      <w:r>
        <w:rPr>
          <w:spacing w:val="-7"/>
        </w:rPr>
        <w:t>国务院关于全面实施预算绩效管理的意见》《中共甘肃省</w:t>
      </w:r>
      <w:r>
        <w:t xml:space="preserve">  </w:t>
      </w:r>
      <w:r>
        <w:rPr>
          <w:spacing w:val="-1"/>
        </w:rPr>
        <w:t>委 甘肃省人民政府关于全面实施预算绩效管理的实施意见》</w:t>
      </w:r>
      <w:r>
        <w:rPr>
          <w:spacing w:val="-2"/>
        </w:rPr>
        <w:t>等相关要求，我们</w:t>
      </w:r>
      <w:r>
        <w:t xml:space="preserve"> </w:t>
      </w:r>
      <w:r>
        <w:rPr>
          <w:spacing w:val="-2"/>
        </w:rPr>
        <w:t>将绩效理念和方法融入预算编制、执行、决算和监督全过</w:t>
      </w:r>
      <w:r>
        <w:rPr>
          <w:spacing w:val="-3"/>
        </w:rPr>
        <w:t>程认真开展各项工作</w:t>
      </w:r>
      <w:r>
        <w:rPr>
          <w:rFonts w:hint="eastAsia"/>
          <w:spacing w:val="-3"/>
          <w:lang w:val="en-US" w:eastAsia="zh-CN"/>
        </w:rPr>
        <w:t>。</w:t>
      </w:r>
    </w:p>
    <w:p w14:paraId="4EE346C9">
      <w:pPr>
        <w:pStyle w:val="2"/>
        <w:spacing w:before="234" w:line="359" w:lineRule="auto"/>
        <w:ind w:left="3" w:firstLine="558"/>
      </w:pPr>
      <w:r>
        <w:rPr>
          <w:b/>
          <w:bCs/>
          <w:spacing w:val="-2"/>
        </w:rPr>
        <w:t>1.绩效目标管理情况。</w:t>
      </w:r>
      <w:r>
        <w:rPr>
          <w:spacing w:val="-2"/>
        </w:rPr>
        <w:t>202</w:t>
      </w:r>
      <w:r>
        <w:rPr>
          <w:rFonts w:hint="eastAsia"/>
          <w:spacing w:val="-2"/>
          <w:lang w:val="en-US" w:eastAsia="zh-CN"/>
        </w:rPr>
        <w:t>5</w:t>
      </w:r>
      <w:r>
        <w:rPr>
          <w:spacing w:val="-2"/>
        </w:rPr>
        <w:t>年度，按照“谁申请资金，谁设置目</w:t>
      </w:r>
      <w:r>
        <w:rPr>
          <w:spacing w:val="-3"/>
        </w:rPr>
        <w:t>标”的原</w:t>
      </w:r>
      <w:r>
        <w:t xml:space="preserve"> </w:t>
      </w:r>
      <w:r>
        <w:rPr>
          <w:spacing w:val="-2"/>
        </w:rPr>
        <w:t>则，纳入部门预算管理的部门整体支出和项目绩效目标</w:t>
      </w:r>
      <w:r>
        <w:rPr>
          <w:rFonts w:hint="eastAsia"/>
          <w:spacing w:val="-2"/>
          <w:lang w:val="en-US" w:eastAsia="zh-CN"/>
        </w:rPr>
        <w:t>2</w:t>
      </w:r>
      <w:r>
        <w:rPr>
          <w:spacing w:val="-2"/>
        </w:rPr>
        <w:t>个，按规定随年度预</w:t>
      </w:r>
      <w:r>
        <w:rPr>
          <w:spacing w:val="-4"/>
        </w:rPr>
        <w:t>算一并公开项目</w:t>
      </w:r>
      <w:r>
        <w:rPr>
          <w:rFonts w:hint="eastAsia"/>
          <w:spacing w:val="-4"/>
          <w:lang w:val="en-US" w:eastAsia="zh-CN"/>
        </w:rPr>
        <w:t>2</w:t>
      </w:r>
      <w:r>
        <w:rPr>
          <w:spacing w:val="-4"/>
        </w:rPr>
        <w:t>个，公开率为</w:t>
      </w:r>
      <w:r>
        <w:rPr>
          <w:spacing w:val="-39"/>
        </w:rPr>
        <w:t xml:space="preserve"> </w:t>
      </w:r>
      <w:r>
        <w:rPr>
          <w:spacing w:val="-4"/>
        </w:rPr>
        <w:t>100.00%。</w:t>
      </w:r>
    </w:p>
    <w:p w14:paraId="5BD470EF">
      <w:pPr>
        <w:pStyle w:val="2"/>
        <w:spacing w:before="40" w:line="353" w:lineRule="auto"/>
        <w:ind w:left="3" w:right="192" w:firstLine="557"/>
      </w:pPr>
      <w:r>
        <w:rPr>
          <w:rFonts w:hint="eastAsia"/>
          <w:b/>
          <w:bCs/>
          <w:spacing w:val="-4"/>
          <w:lang w:val="en-US" w:eastAsia="zh-CN"/>
        </w:rPr>
        <w:t>2</w:t>
      </w:r>
      <w:r>
        <w:rPr>
          <w:b/>
          <w:bCs/>
          <w:spacing w:val="-4"/>
        </w:rPr>
        <w:t>.绩效自评开展情况。</w:t>
      </w:r>
      <w:r>
        <w:rPr>
          <w:spacing w:val="-4"/>
        </w:rPr>
        <w:t>202</w:t>
      </w:r>
      <w:r>
        <w:rPr>
          <w:rFonts w:hint="eastAsia"/>
          <w:spacing w:val="-4"/>
          <w:lang w:val="en-US" w:eastAsia="zh-CN"/>
        </w:rPr>
        <w:t>5</w:t>
      </w:r>
      <w:r>
        <w:rPr>
          <w:spacing w:val="-4"/>
        </w:rPr>
        <w:t>年度，组织开展绩</w:t>
      </w:r>
      <w:r>
        <w:rPr>
          <w:spacing w:val="-5"/>
        </w:rPr>
        <w:t>效自评项目共</w:t>
      </w:r>
      <w:r>
        <w:rPr>
          <w:rFonts w:hint="eastAsia"/>
          <w:spacing w:val="-5"/>
          <w:lang w:val="en-US" w:eastAsia="zh-CN"/>
        </w:rPr>
        <w:t>2</w:t>
      </w:r>
      <w:r>
        <w:rPr>
          <w:spacing w:val="-5"/>
        </w:rPr>
        <w:t>个，其中，</w:t>
      </w:r>
      <w:r>
        <w:t xml:space="preserve"> </w:t>
      </w:r>
      <w:r>
        <w:rPr>
          <w:spacing w:val="-6"/>
        </w:rPr>
        <w:t>部门整体支出</w:t>
      </w:r>
      <w:r>
        <w:rPr>
          <w:spacing w:val="-24"/>
        </w:rPr>
        <w:t xml:space="preserve"> </w:t>
      </w:r>
      <w:r>
        <w:rPr>
          <w:spacing w:val="-6"/>
        </w:rPr>
        <w:t>1</w:t>
      </w:r>
      <w:r>
        <w:rPr>
          <w:spacing w:val="-52"/>
        </w:rPr>
        <w:t xml:space="preserve"> </w:t>
      </w:r>
      <w:r>
        <w:rPr>
          <w:spacing w:val="-6"/>
        </w:rPr>
        <w:t>个，项目支出</w:t>
      </w:r>
      <w:r>
        <w:rPr>
          <w:rFonts w:hint="eastAsia"/>
          <w:spacing w:val="-6"/>
          <w:lang w:val="en-US" w:eastAsia="zh-CN"/>
        </w:rPr>
        <w:t>1</w:t>
      </w:r>
      <w:r>
        <w:rPr>
          <w:spacing w:val="-6"/>
        </w:rPr>
        <w:t>个，转移支付项目</w:t>
      </w:r>
      <w:r>
        <w:rPr>
          <w:spacing w:val="-58"/>
        </w:rPr>
        <w:t xml:space="preserve"> </w:t>
      </w:r>
      <w:r>
        <w:rPr>
          <w:spacing w:val="-6"/>
        </w:rPr>
        <w:t>0</w:t>
      </w:r>
      <w:r>
        <w:rPr>
          <w:spacing w:val="-52"/>
        </w:rPr>
        <w:t xml:space="preserve"> </w:t>
      </w:r>
      <w:r>
        <w:rPr>
          <w:spacing w:val="-6"/>
        </w:rPr>
        <w:t>个，绩效自评覆盖率为</w:t>
      </w:r>
    </w:p>
    <w:p w14:paraId="2DDBF91A">
      <w:pPr>
        <w:pStyle w:val="2"/>
        <w:spacing w:before="52" w:line="354" w:lineRule="auto"/>
        <w:ind w:left="38" w:right="124" w:hanging="24"/>
      </w:pPr>
      <w:r>
        <w:rPr>
          <w:spacing w:val="-2"/>
        </w:rPr>
        <w:t>100.00%。绩效自评结果随部门决算报送财政和随决算公开情况：绩效自评结果</w:t>
      </w:r>
      <w:r>
        <w:rPr>
          <w:spacing w:val="-4"/>
        </w:rPr>
        <w:t>已随部门决算报送财政和随决算公开。</w:t>
      </w:r>
    </w:p>
    <w:p w14:paraId="2491FFA3">
      <w:pPr>
        <w:pStyle w:val="2"/>
        <w:spacing w:before="75" w:line="218" w:lineRule="auto"/>
        <w:ind w:left="565"/>
        <w:outlineLvl w:val="2"/>
      </w:pPr>
      <w:r>
        <w:rPr>
          <w:b/>
          <w:bCs/>
          <w:spacing w:val="-5"/>
        </w:rPr>
        <w:t>（二）202</w:t>
      </w:r>
      <w:r>
        <w:rPr>
          <w:rFonts w:hint="eastAsia"/>
          <w:b/>
          <w:bCs/>
          <w:spacing w:val="-5"/>
          <w:lang w:val="en-US" w:eastAsia="zh-CN"/>
        </w:rPr>
        <w:t>6</w:t>
      </w:r>
      <w:r>
        <w:rPr>
          <w:spacing w:val="-40"/>
        </w:rPr>
        <w:t xml:space="preserve"> </w:t>
      </w:r>
      <w:r>
        <w:rPr>
          <w:b/>
          <w:bCs/>
          <w:spacing w:val="-5"/>
        </w:rPr>
        <w:t>年绩效目标编制情况</w:t>
      </w:r>
    </w:p>
    <w:p w14:paraId="2E8CF53F">
      <w:pPr>
        <w:pStyle w:val="2"/>
        <w:spacing w:before="235" w:line="364" w:lineRule="auto"/>
        <w:ind w:left="7" w:right="9" w:firstLine="549"/>
        <w:jc w:val="both"/>
        <w:rPr>
          <w:rFonts w:hint="default" w:eastAsia="仿宋"/>
          <w:lang w:val="en-US" w:eastAsia="zh-CN"/>
        </w:rPr>
      </w:pPr>
      <w:r>
        <w:rPr>
          <w:spacing w:val="-2"/>
        </w:rPr>
        <w:t>202</w:t>
      </w:r>
      <w:r>
        <w:rPr>
          <w:rFonts w:hint="eastAsia"/>
          <w:spacing w:val="-2"/>
          <w:lang w:val="en-US" w:eastAsia="zh-CN"/>
        </w:rPr>
        <w:t>6</w:t>
      </w:r>
      <w:r>
        <w:rPr>
          <w:spacing w:val="-2"/>
        </w:rPr>
        <w:t>年，纳入部门预算绩效目标管理的项目</w:t>
      </w:r>
      <w:r>
        <w:rPr>
          <w:rFonts w:hint="eastAsia"/>
          <w:spacing w:val="-2"/>
          <w:lang w:val="en-US" w:eastAsia="zh-CN"/>
        </w:rPr>
        <w:t>1</w:t>
      </w:r>
      <w:r>
        <w:rPr>
          <w:spacing w:val="-2"/>
        </w:rPr>
        <w:t>个。其中，部门整体支出绩</w:t>
      </w:r>
      <w:r>
        <w:t xml:space="preserve">  </w:t>
      </w:r>
      <w:r>
        <w:rPr>
          <w:spacing w:val="-1"/>
        </w:rPr>
        <w:t>效目标围绕基本运行、重点履职、部门综合、可持续发展能力四个维度，设置</w:t>
      </w:r>
      <w:r>
        <w:rPr>
          <w:spacing w:val="3"/>
        </w:rPr>
        <w:t xml:space="preserve">  </w:t>
      </w:r>
      <w:r>
        <w:rPr>
          <w:spacing w:val="-5"/>
        </w:rPr>
        <w:t>二级指标</w:t>
      </w:r>
      <w:r>
        <w:rPr>
          <w:rFonts w:hint="eastAsia"/>
          <w:spacing w:val="-5"/>
          <w:lang w:val="en-US" w:eastAsia="zh-CN"/>
        </w:rPr>
        <w:t>18</w:t>
      </w:r>
      <w:r>
        <w:rPr>
          <w:spacing w:val="-5"/>
        </w:rPr>
        <w:t>个、三级指标</w:t>
      </w:r>
      <w:r>
        <w:rPr>
          <w:rFonts w:hint="eastAsia"/>
          <w:spacing w:val="-5"/>
          <w:lang w:val="en-US" w:eastAsia="zh-CN"/>
        </w:rPr>
        <w:t>25</w:t>
      </w:r>
      <w:r>
        <w:rPr>
          <w:spacing w:val="-5"/>
        </w:rPr>
        <w:t>个</w:t>
      </w:r>
      <w:r>
        <w:rPr>
          <w:rFonts w:hint="eastAsia"/>
          <w:spacing w:val="-5"/>
          <w:lang w:eastAsia="zh-CN"/>
        </w:rPr>
        <w:t>。</w:t>
      </w:r>
    </w:p>
    <w:p w14:paraId="6A2948FB">
      <w:pPr>
        <w:pStyle w:val="2"/>
        <w:spacing w:before="122" w:line="219" w:lineRule="auto"/>
        <w:ind w:left="573"/>
        <w:outlineLvl w:val="1"/>
      </w:pPr>
      <w:r>
        <w:rPr>
          <w:b/>
          <w:bCs/>
          <w:spacing w:val="-9"/>
        </w:rPr>
        <w:t>十一、名词解释</w:t>
      </w:r>
    </w:p>
    <w:p w14:paraId="71469585">
      <w:pPr>
        <w:pStyle w:val="2"/>
        <w:spacing w:before="328" w:line="421" w:lineRule="auto"/>
        <w:ind w:right="107" w:firstLine="577"/>
      </w:pPr>
      <w:r>
        <w:rPr>
          <w:b/>
          <w:bCs/>
          <w:spacing w:val="2"/>
        </w:rPr>
        <w:t>1、财政拨款:</w:t>
      </w:r>
      <w:r>
        <w:rPr>
          <w:spacing w:val="2"/>
        </w:rPr>
        <w:t>指由一般公共预算、政府性基金预算、国有资本经</w:t>
      </w:r>
      <w:r>
        <w:rPr>
          <w:spacing w:val="1"/>
        </w:rPr>
        <w:t>营预算安</w:t>
      </w:r>
      <w:r>
        <w:t xml:space="preserve"> </w:t>
      </w:r>
      <w:r>
        <w:rPr>
          <w:spacing w:val="-2"/>
        </w:rPr>
        <w:t>排的财政拨款数。</w:t>
      </w:r>
    </w:p>
    <w:p w14:paraId="67FF6B74">
      <w:pPr>
        <w:pStyle w:val="2"/>
        <w:spacing w:before="43" w:line="218" w:lineRule="auto"/>
        <w:ind w:left="559"/>
      </w:pPr>
      <w:r>
        <w:rPr>
          <w:b/>
          <w:bCs/>
          <w:spacing w:val="-2"/>
        </w:rPr>
        <w:t>2、一般公共预算:</w:t>
      </w:r>
      <w:r>
        <w:rPr>
          <w:spacing w:val="-2"/>
        </w:rPr>
        <w:t>包括公共财政拨款（补助）资金、专项收入。</w:t>
      </w:r>
    </w:p>
    <w:p w14:paraId="13F75068">
      <w:pPr>
        <w:pStyle w:val="2"/>
        <w:spacing w:before="328" w:line="421" w:lineRule="auto"/>
        <w:ind w:left="4" w:right="103" w:firstLine="557"/>
      </w:pPr>
      <w:r>
        <w:rPr>
          <w:rFonts w:hint="eastAsia"/>
          <w:b/>
          <w:bCs/>
          <w:spacing w:val="-12"/>
          <w:lang w:val="en-US" w:eastAsia="zh-CN"/>
        </w:rPr>
        <w:t>3</w:t>
      </w:r>
      <w:r>
        <w:rPr>
          <w:b/>
          <w:bCs/>
          <w:spacing w:val="-12"/>
        </w:rPr>
        <w:t>、基本支出:</w:t>
      </w:r>
      <w:r>
        <w:rPr>
          <w:spacing w:val="-12"/>
        </w:rPr>
        <w:t>包括人员经费、公用经费（定额）。其中，人员经费包</w:t>
      </w:r>
      <w:r>
        <w:rPr>
          <w:spacing w:val="-13"/>
        </w:rPr>
        <w:t>括工资</w:t>
      </w:r>
      <w:r>
        <w:rPr>
          <w:spacing w:val="-3"/>
        </w:rPr>
        <w:t>福利支出、对个人和家庭的补助。</w:t>
      </w:r>
    </w:p>
    <w:p w14:paraId="31197A9B">
      <w:pPr>
        <w:pStyle w:val="2"/>
        <w:spacing w:before="44" w:line="426" w:lineRule="auto"/>
        <w:ind w:left="7" w:right="107" w:firstLine="551"/>
        <w:jc w:val="both"/>
      </w:pPr>
      <w:r>
        <w:rPr>
          <w:b/>
          <w:bCs/>
          <w:spacing w:val="2"/>
        </w:rPr>
        <w:t>6、项目支出:</w:t>
      </w:r>
      <w:r>
        <w:rPr>
          <w:spacing w:val="2"/>
        </w:rPr>
        <w:t>部门（单位）支出预算的组成部分，是各部门（单位）为完成其特定的行政任务或事业发展目标，在基本支出预算之外编制的年度项目支</w:t>
      </w:r>
      <w:r>
        <w:rPr>
          <w:spacing w:val="-11"/>
        </w:rPr>
        <w:t>出计划。</w:t>
      </w:r>
    </w:p>
    <w:p w14:paraId="76FBBF6A">
      <w:pPr>
        <w:pStyle w:val="2"/>
        <w:spacing w:before="44" w:line="426" w:lineRule="auto"/>
        <w:ind w:left="7" w:right="107" w:firstLine="551"/>
        <w:jc w:val="both"/>
      </w:pPr>
      <w:r>
        <w:rPr>
          <w:b/>
          <w:bCs/>
          <w:spacing w:val="-8"/>
        </w:rPr>
        <w:t>7、“三公”经费:</w:t>
      </w:r>
      <w:r>
        <w:rPr>
          <w:spacing w:val="-8"/>
        </w:rPr>
        <w:t>指</w:t>
      </w:r>
      <w:r>
        <w:rPr>
          <w:spacing w:val="2"/>
        </w:rPr>
        <w:t>因公出国（境）费、公务用车购置及运行维护费和公务接待费。其中，因公出国</w:t>
      </w:r>
      <w:r>
        <w:rPr>
          <w:spacing w:val="3"/>
        </w:rPr>
        <w:t>（境）费反映单位工作</w:t>
      </w:r>
      <w:r>
        <w:rPr>
          <w:spacing w:val="2"/>
        </w:rPr>
        <w:t>人员公务出国（境）的国际旅</w:t>
      </w:r>
      <w:r>
        <w:rPr>
          <w:spacing w:val="3"/>
        </w:rPr>
        <w:t>费、国外城市间的交通费、住宿费、伙食费、培</w:t>
      </w:r>
      <w:r>
        <w:rPr>
          <w:spacing w:val="2"/>
        </w:rPr>
        <w:t>训费、公杂费等支出；公务用</w:t>
      </w:r>
      <w:r>
        <w:rPr>
          <w:spacing w:val="-3"/>
        </w:rPr>
        <w:t>车运行维护费反映单位按规定保留的公务用车的燃料费、维修费、过桥过路费、</w:t>
      </w:r>
      <w:r>
        <w:rPr>
          <w:spacing w:val="3"/>
        </w:rPr>
        <w:t>保险费、安全奖励费用等支出；公务用车购置反</w:t>
      </w:r>
      <w:r>
        <w:rPr>
          <w:spacing w:val="2"/>
        </w:rPr>
        <w:t>映公务用车车辆购置支出（含</w:t>
      </w:r>
      <w:r>
        <w:rPr>
          <w:spacing w:val="-4"/>
        </w:rPr>
        <w:t>车辆购置税、牌照费</w:t>
      </w:r>
      <w:r>
        <w:rPr>
          <w:spacing w:val="-23"/>
        </w:rPr>
        <w:t>）；</w:t>
      </w:r>
      <w:r>
        <w:rPr>
          <w:spacing w:val="-4"/>
        </w:rPr>
        <w:t>公务接待费反映单位按规定开支的各类</w:t>
      </w:r>
      <w:r>
        <w:rPr>
          <w:spacing w:val="-5"/>
        </w:rPr>
        <w:t>公务接待（含外宾接待）费用。</w:t>
      </w:r>
    </w:p>
    <w:p w14:paraId="5DA52FDC">
      <w:pPr>
        <w:pStyle w:val="2"/>
        <w:spacing w:before="40" w:line="428" w:lineRule="auto"/>
        <w:ind w:right="94" w:firstLine="555"/>
        <w:jc w:val="both"/>
      </w:pPr>
      <w:r>
        <w:rPr>
          <w:b/>
          <w:bCs/>
          <w:spacing w:val="2"/>
        </w:rPr>
        <w:t>8、机关运行经费:</w:t>
      </w:r>
      <w:r>
        <w:rPr>
          <w:spacing w:val="2"/>
        </w:rPr>
        <w:t>为保障行政单位（包括实行公务员管理的事业单位）运</w:t>
      </w:r>
      <w:r>
        <w:rPr>
          <w:spacing w:val="3"/>
        </w:rPr>
        <w:t>行用于购买货物和服务的各项资金，包括办公及印刷费、</w:t>
      </w:r>
      <w:r>
        <w:rPr>
          <w:spacing w:val="2"/>
        </w:rPr>
        <w:t>邮电费、差旅费、会</w:t>
      </w:r>
      <w:r>
        <w:rPr>
          <w:spacing w:val="3"/>
        </w:rPr>
        <w:t>议费、福利费、日常维修费、一般设备购置费、办公</w:t>
      </w:r>
      <w:r>
        <w:rPr>
          <w:spacing w:val="2"/>
        </w:rPr>
        <w:t>用房水电费、办公用房取</w:t>
      </w:r>
      <w:r>
        <w:t xml:space="preserve"> </w:t>
      </w:r>
      <w:r>
        <w:rPr>
          <w:spacing w:val="-1"/>
        </w:rPr>
        <w:t>暖费、办公用房物业管理费、公务用车运行维护费以及其他费用。</w:t>
      </w:r>
    </w:p>
    <w:p w14:paraId="2E28E890">
      <w:pPr>
        <w:pStyle w:val="2"/>
        <w:spacing w:before="46" w:line="219" w:lineRule="auto"/>
        <w:ind w:left="555"/>
        <w:rPr>
          <w:spacing w:val="-3"/>
        </w:rPr>
      </w:pPr>
      <w:r>
        <w:rPr>
          <w:b/>
          <w:bCs/>
          <w:spacing w:val="-2"/>
        </w:rPr>
        <w:t>9、一般公共服务支出（类）:</w:t>
      </w:r>
      <w:r>
        <w:rPr>
          <w:spacing w:val="-2"/>
        </w:rPr>
        <w:t>反映政府提供一般公共服务</w:t>
      </w:r>
      <w:r>
        <w:rPr>
          <w:spacing w:val="-3"/>
        </w:rPr>
        <w:t>的支出。</w:t>
      </w:r>
    </w:p>
    <w:p w14:paraId="0505DBCC">
      <w:pPr>
        <w:pStyle w:val="2"/>
        <w:spacing w:before="327" w:line="219" w:lineRule="auto"/>
        <w:ind w:right="39"/>
        <w:jc w:val="center"/>
      </w:pPr>
      <w:r>
        <w:rPr>
          <w:rFonts w:hint="eastAsia"/>
          <w:b/>
          <w:bCs/>
          <w:spacing w:val="-2"/>
          <w:lang w:val="en-US" w:eastAsia="zh-CN"/>
        </w:rPr>
        <w:t xml:space="preserve">   </w:t>
      </w:r>
      <w:r>
        <w:rPr>
          <w:b/>
          <w:bCs/>
          <w:spacing w:val="-2"/>
        </w:rPr>
        <w:t>10、一般公共服务支出（类）财政事务（款）:</w:t>
      </w:r>
      <w:r>
        <w:rPr>
          <w:spacing w:val="-2"/>
        </w:rPr>
        <w:t>反映财政事务方面的支出。</w:t>
      </w:r>
    </w:p>
    <w:p w14:paraId="7109C2EE">
      <w:pPr>
        <w:pStyle w:val="2"/>
        <w:spacing w:before="329" w:line="217" w:lineRule="auto"/>
        <w:ind w:firstLine="546" w:firstLineChars="200"/>
      </w:pPr>
      <w:r>
        <w:rPr>
          <w:b/>
          <w:bCs/>
          <w:spacing w:val="-4"/>
        </w:rPr>
        <w:t>11、一般公共服务支出（类）财政事务（款）行政运行（项）:</w:t>
      </w:r>
      <w:r>
        <w:rPr>
          <w:spacing w:val="-4"/>
        </w:rPr>
        <w:t>反映</w:t>
      </w:r>
      <w:r>
        <w:rPr>
          <w:spacing w:val="-5"/>
        </w:rPr>
        <w:t>甘肃省</w:t>
      </w:r>
    </w:p>
    <w:p w14:paraId="07648E36">
      <w:pPr>
        <w:pStyle w:val="2"/>
        <w:spacing w:before="331" w:line="219" w:lineRule="auto"/>
        <w:ind w:left="4"/>
      </w:pPr>
      <w:r>
        <w:rPr>
          <w:spacing w:val="-3"/>
        </w:rPr>
        <w:t>财政厅的基本支出。</w:t>
      </w:r>
    </w:p>
    <w:p w14:paraId="159CDBA0">
      <w:pPr>
        <w:pStyle w:val="2"/>
        <w:spacing w:before="329" w:line="420" w:lineRule="auto"/>
        <w:ind w:left="12" w:right="87" w:firstLine="562"/>
      </w:pPr>
      <w:r>
        <w:rPr>
          <w:b/>
          <w:bCs/>
          <w:spacing w:val="-6"/>
        </w:rPr>
        <w:t>12、一般公共服务支出（类）财政事务（款）一般行政管理事务（项</w:t>
      </w:r>
      <w:r>
        <w:rPr>
          <w:b/>
          <w:bCs/>
          <w:spacing w:val="-7"/>
        </w:rPr>
        <w:t>）</w:t>
      </w:r>
      <w:r>
        <w:rPr>
          <w:spacing w:val="-81"/>
        </w:rPr>
        <w:t xml:space="preserve"> </w:t>
      </w:r>
      <w:r>
        <w:rPr>
          <w:b/>
          <w:bCs/>
          <w:spacing w:val="-7"/>
        </w:rPr>
        <w:t>:</w:t>
      </w:r>
      <w:r>
        <w:rPr>
          <w:spacing w:val="-7"/>
        </w:rPr>
        <w:t>反</w:t>
      </w:r>
      <w:r>
        <w:t xml:space="preserve"> </w:t>
      </w:r>
      <w:r>
        <w:rPr>
          <w:spacing w:val="-2"/>
        </w:rPr>
        <w:t>映甘肃省财政厅未单独设置项级科目的其他项目支出。</w:t>
      </w:r>
    </w:p>
    <w:p w14:paraId="0B4C0176">
      <w:pPr>
        <w:pStyle w:val="2"/>
        <w:spacing w:before="44" w:line="421" w:lineRule="auto"/>
        <w:ind w:left="1" w:right="90" w:firstLine="573"/>
      </w:pPr>
      <w:r>
        <w:rPr>
          <w:b/>
          <w:bCs/>
          <w:spacing w:val="-4"/>
        </w:rPr>
        <w:t>13、一般公共服务支出（类）财政事务（款）信息化建设（项</w:t>
      </w:r>
      <w:r>
        <w:rPr>
          <w:b/>
          <w:bCs/>
          <w:spacing w:val="-5"/>
        </w:rPr>
        <w:t>）:</w:t>
      </w:r>
      <w:r>
        <w:rPr>
          <w:spacing w:val="-5"/>
        </w:rPr>
        <w:t>反映财政</w:t>
      </w:r>
      <w:r>
        <w:t xml:space="preserve"> </w:t>
      </w:r>
      <w:r>
        <w:rPr>
          <w:spacing w:val="-3"/>
        </w:rPr>
        <w:t>部门用于信息化建设方面的支出。</w:t>
      </w:r>
    </w:p>
    <w:p w14:paraId="5F602CEA">
      <w:pPr>
        <w:pStyle w:val="2"/>
        <w:spacing w:before="46" w:line="425" w:lineRule="auto"/>
        <w:ind w:right="90" w:firstLine="574"/>
        <w:jc w:val="both"/>
      </w:pPr>
      <w:r>
        <w:rPr>
          <w:b/>
          <w:bCs/>
          <w:spacing w:val="-4"/>
        </w:rPr>
        <w:t>14、一般公共服务支出（类）财政事务（款）事业运行（项）:</w:t>
      </w:r>
      <w:r>
        <w:rPr>
          <w:spacing w:val="-4"/>
        </w:rPr>
        <w:t>反映</w:t>
      </w:r>
      <w:r>
        <w:rPr>
          <w:spacing w:val="-5"/>
        </w:rPr>
        <w:t>甘肃省</w:t>
      </w:r>
      <w:r>
        <w:t xml:space="preserve"> </w:t>
      </w:r>
      <w:r>
        <w:rPr>
          <w:spacing w:val="3"/>
        </w:rPr>
        <w:t>财政厅的基本支出，不包括行政单位（包括实行公务</w:t>
      </w:r>
      <w:r>
        <w:rPr>
          <w:spacing w:val="2"/>
        </w:rPr>
        <w:t>员管理的事业单位）后勤</w:t>
      </w:r>
      <w:r>
        <w:t xml:space="preserve"> </w:t>
      </w:r>
      <w:r>
        <w:rPr>
          <w:spacing w:val="-1"/>
        </w:rPr>
        <w:t>服务中心、医务室等附属事业单位。</w:t>
      </w:r>
    </w:p>
    <w:p w14:paraId="765B124E">
      <w:pPr>
        <w:pStyle w:val="2"/>
        <w:spacing w:before="55" w:line="421" w:lineRule="auto"/>
        <w:ind w:left="12" w:right="2" w:firstLine="562"/>
      </w:pPr>
      <w:r>
        <w:rPr>
          <w:b/>
          <w:bCs/>
          <w:spacing w:val="-6"/>
        </w:rPr>
        <w:t>15、一般公共服务支出（类）财政事务（款）其他财政事务支出（项</w:t>
      </w:r>
      <w:r>
        <w:rPr>
          <w:b/>
          <w:bCs/>
          <w:spacing w:val="-7"/>
        </w:rPr>
        <w:t>）</w:t>
      </w:r>
      <w:r>
        <w:rPr>
          <w:spacing w:val="-81"/>
        </w:rPr>
        <w:t xml:space="preserve"> </w:t>
      </w:r>
      <w:r>
        <w:rPr>
          <w:b/>
          <w:bCs/>
          <w:spacing w:val="-7"/>
        </w:rPr>
        <w:t>:</w:t>
      </w:r>
      <w:r>
        <w:rPr>
          <w:spacing w:val="-7"/>
        </w:rPr>
        <w:t>反</w:t>
      </w:r>
      <w:r>
        <w:t xml:space="preserve"> </w:t>
      </w:r>
      <w:r>
        <w:rPr>
          <w:spacing w:val="-3"/>
        </w:rPr>
        <w:t>映除上述项目以外其他财政事务方面的支出。</w:t>
      </w:r>
    </w:p>
    <w:p w14:paraId="1F592245">
      <w:pPr>
        <w:pStyle w:val="2"/>
        <w:spacing w:before="43" w:line="421" w:lineRule="auto"/>
        <w:ind w:left="3" w:firstLine="571"/>
      </w:pPr>
      <w:r>
        <w:rPr>
          <w:b/>
          <w:bCs/>
          <w:spacing w:val="-4"/>
        </w:rPr>
        <w:t>16、一般公共服务支出（类）其他一般公共服务支出（款）:</w:t>
      </w:r>
      <w:r>
        <w:rPr>
          <w:spacing w:val="-4"/>
        </w:rPr>
        <w:t>反映上述项目</w:t>
      </w:r>
      <w:r>
        <w:rPr>
          <w:spacing w:val="4"/>
        </w:rPr>
        <w:t xml:space="preserve"> </w:t>
      </w:r>
      <w:r>
        <w:rPr>
          <w:spacing w:val="-2"/>
        </w:rPr>
        <w:t>未包括的一般公共服务支出。</w:t>
      </w:r>
    </w:p>
    <w:p w14:paraId="05F54FCB">
      <w:pPr>
        <w:pStyle w:val="2"/>
        <w:spacing w:before="42" w:line="218" w:lineRule="auto"/>
        <w:ind w:right="9"/>
        <w:jc w:val="right"/>
        <w:outlineLvl w:val="3"/>
      </w:pPr>
      <w:r>
        <w:rPr>
          <w:b/>
          <w:bCs/>
          <w:spacing w:val="-1"/>
        </w:rPr>
        <w:t>17、一般公共服务支出（类）其他一般公共服务支出（款）其他一般公共</w:t>
      </w:r>
    </w:p>
    <w:p w14:paraId="0F2E4136">
      <w:pPr>
        <w:pStyle w:val="2"/>
        <w:spacing w:before="329" w:line="218" w:lineRule="auto"/>
      </w:pPr>
      <w:r>
        <w:rPr>
          <w:b/>
          <w:bCs/>
          <w:spacing w:val="-2"/>
        </w:rPr>
        <w:t>服务支出（项）:</w:t>
      </w:r>
      <w:r>
        <w:rPr>
          <w:spacing w:val="-2"/>
        </w:rPr>
        <w:t>反映除上述项目以外的其他一般公共服</w:t>
      </w:r>
      <w:r>
        <w:rPr>
          <w:spacing w:val="-3"/>
        </w:rPr>
        <w:t>务支出。</w:t>
      </w:r>
    </w:p>
    <w:p w14:paraId="3E56548A">
      <w:pPr>
        <w:pStyle w:val="2"/>
        <w:spacing w:before="329" w:line="216" w:lineRule="auto"/>
        <w:jc w:val="right"/>
      </w:pPr>
      <w:r>
        <w:rPr>
          <w:b/>
          <w:bCs/>
          <w:spacing w:val="-3"/>
        </w:rPr>
        <w:t>18、社会保障和就业支出（类）:</w:t>
      </w:r>
      <w:r>
        <w:rPr>
          <w:spacing w:val="-3"/>
        </w:rPr>
        <w:t>反映政府在社会保障与就业方面的支出。</w:t>
      </w:r>
    </w:p>
    <w:p w14:paraId="611070D7">
      <w:pPr>
        <w:spacing w:line="241" w:lineRule="auto"/>
        <w:rPr>
          <w:rFonts w:ascii="Arial"/>
          <w:sz w:val="21"/>
        </w:rPr>
      </w:pPr>
    </w:p>
    <w:p w14:paraId="2ECC8DC9">
      <w:pPr>
        <w:pStyle w:val="2"/>
        <w:spacing w:before="92" w:line="420" w:lineRule="auto"/>
        <w:ind w:left="1" w:right="2" w:firstLine="573"/>
      </w:pPr>
      <w:r>
        <w:rPr>
          <w:b/>
          <w:bCs/>
          <w:spacing w:val="-6"/>
        </w:rPr>
        <w:t>19、社会保障和就业支出（类）行政事业单位养老支出</w:t>
      </w:r>
      <w:r>
        <w:rPr>
          <w:b/>
          <w:bCs/>
          <w:spacing w:val="-7"/>
        </w:rPr>
        <w:t>（款）</w:t>
      </w:r>
      <w:r>
        <w:rPr>
          <w:spacing w:val="-64"/>
        </w:rPr>
        <w:t xml:space="preserve"> </w:t>
      </w:r>
      <w:r>
        <w:rPr>
          <w:b/>
          <w:bCs/>
          <w:spacing w:val="-7"/>
        </w:rPr>
        <w:t>:</w:t>
      </w:r>
      <w:r>
        <w:rPr>
          <w:spacing w:val="-7"/>
        </w:rPr>
        <w:t>反映用于行</w:t>
      </w:r>
      <w:r>
        <w:t xml:space="preserve"> </w:t>
      </w:r>
      <w:r>
        <w:rPr>
          <w:spacing w:val="-2"/>
        </w:rPr>
        <w:t>政事业单位养老方面的支出。</w:t>
      </w:r>
    </w:p>
    <w:p w14:paraId="36D49E78">
      <w:pPr>
        <w:pStyle w:val="2"/>
        <w:spacing w:before="45" w:line="217" w:lineRule="auto"/>
        <w:ind w:right="14"/>
        <w:jc w:val="right"/>
        <w:outlineLvl w:val="3"/>
      </w:pPr>
      <w:r>
        <w:rPr>
          <w:b/>
          <w:bCs/>
        </w:rPr>
        <w:t>20、社会保障和就业支出（类）行政事业单位养老支出（款）行政</w:t>
      </w:r>
      <w:r>
        <w:rPr>
          <w:b/>
          <w:bCs/>
          <w:spacing w:val="-1"/>
        </w:rPr>
        <w:t>单位离</w:t>
      </w:r>
    </w:p>
    <w:p w14:paraId="406B1EA2">
      <w:pPr>
        <w:pStyle w:val="2"/>
        <w:spacing w:before="332" w:line="216" w:lineRule="auto"/>
        <w:ind w:left="6"/>
      </w:pPr>
      <w:r>
        <w:rPr>
          <w:b/>
          <w:bCs/>
          <w:spacing w:val="-6"/>
        </w:rPr>
        <w:t>退休（项）</w:t>
      </w:r>
      <w:r>
        <w:rPr>
          <w:spacing w:val="-55"/>
        </w:rPr>
        <w:t xml:space="preserve"> </w:t>
      </w:r>
      <w:r>
        <w:rPr>
          <w:b/>
          <w:bCs/>
          <w:spacing w:val="-6"/>
        </w:rPr>
        <w:t>:</w:t>
      </w:r>
      <w:r>
        <w:rPr>
          <w:spacing w:val="-6"/>
        </w:rPr>
        <w:t>反映甘肃省财政厅开支的离退休经</w:t>
      </w:r>
      <w:r>
        <w:rPr>
          <w:spacing w:val="-7"/>
        </w:rPr>
        <w:t>费。</w:t>
      </w:r>
    </w:p>
    <w:p w14:paraId="42DC6638">
      <w:pPr>
        <w:pStyle w:val="2"/>
        <w:spacing w:before="332" w:line="217" w:lineRule="auto"/>
        <w:ind w:right="14"/>
        <w:jc w:val="right"/>
        <w:outlineLvl w:val="3"/>
      </w:pPr>
      <w:r>
        <w:rPr>
          <w:b/>
          <w:bCs/>
        </w:rPr>
        <w:t>21、社会保障和就业支出（类）行政事业单位养老支出（款）事业</w:t>
      </w:r>
      <w:r>
        <w:rPr>
          <w:b/>
          <w:bCs/>
          <w:spacing w:val="-1"/>
        </w:rPr>
        <w:t>单位离</w:t>
      </w:r>
    </w:p>
    <w:p w14:paraId="175D9964">
      <w:pPr>
        <w:pStyle w:val="2"/>
        <w:spacing w:before="331" w:line="216" w:lineRule="auto"/>
        <w:ind w:left="6"/>
      </w:pPr>
      <w:r>
        <w:rPr>
          <w:b/>
          <w:bCs/>
          <w:spacing w:val="-7"/>
        </w:rPr>
        <w:t>退休（项）</w:t>
      </w:r>
      <w:r>
        <w:rPr>
          <w:spacing w:val="-55"/>
        </w:rPr>
        <w:t xml:space="preserve"> </w:t>
      </w:r>
      <w:r>
        <w:rPr>
          <w:b/>
          <w:bCs/>
          <w:spacing w:val="-7"/>
        </w:rPr>
        <w:t>:</w:t>
      </w:r>
      <w:r>
        <w:rPr>
          <w:spacing w:val="-7"/>
        </w:rPr>
        <w:t>反映事业单位开支的离退休经</w:t>
      </w:r>
      <w:r>
        <w:rPr>
          <w:spacing w:val="-8"/>
        </w:rPr>
        <w:t>费。</w:t>
      </w:r>
    </w:p>
    <w:p w14:paraId="0B8091A9">
      <w:pPr>
        <w:pStyle w:val="2"/>
        <w:spacing w:before="332" w:line="217" w:lineRule="auto"/>
        <w:ind w:right="14"/>
        <w:jc w:val="right"/>
        <w:outlineLvl w:val="3"/>
      </w:pPr>
      <w:r>
        <w:rPr>
          <w:b/>
          <w:bCs/>
        </w:rPr>
        <w:t>22、社会保障和就业支出（类）行政事业单位养老支出（款）机关</w:t>
      </w:r>
      <w:r>
        <w:rPr>
          <w:b/>
          <w:bCs/>
          <w:spacing w:val="-1"/>
        </w:rPr>
        <w:t>事业单</w:t>
      </w:r>
    </w:p>
    <w:p w14:paraId="0E584AB1">
      <w:pPr>
        <w:pStyle w:val="2"/>
        <w:spacing w:before="332" w:line="420" w:lineRule="auto"/>
        <w:ind w:left="3" w:right="6" w:hanging="2"/>
      </w:pPr>
      <w:r>
        <w:rPr>
          <w:b/>
          <w:bCs/>
          <w:spacing w:val="-3"/>
        </w:rPr>
        <w:t>位基本养老保险缴费支出（项）:</w:t>
      </w:r>
      <w:r>
        <w:rPr>
          <w:spacing w:val="-3"/>
        </w:rPr>
        <w:t>反映机关事业单位实施养老保险制度由单位缴</w:t>
      </w:r>
      <w:r>
        <w:rPr>
          <w:spacing w:val="18"/>
        </w:rPr>
        <w:t xml:space="preserve"> </w:t>
      </w:r>
      <w:r>
        <w:rPr>
          <w:spacing w:val="-5"/>
        </w:rPr>
        <w:t>纳的基本养老保险费支出。</w:t>
      </w:r>
    </w:p>
    <w:p w14:paraId="747CC4AB">
      <w:pPr>
        <w:pStyle w:val="2"/>
        <w:spacing w:before="46" w:line="420" w:lineRule="auto"/>
        <w:ind w:firstLine="556"/>
      </w:pPr>
      <w:r>
        <w:rPr>
          <w:b/>
          <w:bCs/>
          <w:spacing w:val="-4"/>
        </w:rPr>
        <w:t>23、社会保障和就业支出（类）其他社会保障和就业支出（款）:</w:t>
      </w:r>
      <w:r>
        <w:rPr>
          <w:spacing w:val="-4"/>
        </w:rPr>
        <w:t>反映除上</w:t>
      </w:r>
      <w:r>
        <w:rPr>
          <w:spacing w:val="16"/>
        </w:rPr>
        <w:t xml:space="preserve"> </w:t>
      </w:r>
      <w:r>
        <w:rPr>
          <w:spacing w:val="-2"/>
        </w:rPr>
        <w:t>述项目以外其他用于社会保障和就业方面的支出。</w:t>
      </w:r>
    </w:p>
    <w:p w14:paraId="10BFFF45">
      <w:pPr>
        <w:pStyle w:val="2"/>
        <w:spacing w:before="46" w:line="217" w:lineRule="auto"/>
        <w:ind w:right="14"/>
        <w:jc w:val="right"/>
        <w:outlineLvl w:val="3"/>
      </w:pPr>
      <w:r>
        <w:rPr>
          <w:b/>
          <w:bCs/>
        </w:rPr>
        <w:t>24、社会保障和就业支出（类）其他社会保障和就业支出（款）其</w:t>
      </w:r>
      <w:r>
        <w:rPr>
          <w:b/>
          <w:bCs/>
          <w:spacing w:val="-1"/>
        </w:rPr>
        <w:t>他社会</w:t>
      </w:r>
    </w:p>
    <w:p w14:paraId="50146810">
      <w:pPr>
        <w:pStyle w:val="2"/>
        <w:spacing w:before="329" w:line="424" w:lineRule="auto"/>
        <w:ind w:left="28" w:right="6" w:hanging="27"/>
        <w:jc w:val="both"/>
      </w:pPr>
      <w:r>
        <w:rPr>
          <w:b/>
          <w:bCs/>
          <w:spacing w:val="-2"/>
        </w:rPr>
        <w:t>保障和就业支出（项）:</w:t>
      </w:r>
      <w:r>
        <w:rPr>
          <w:spacing w:val="-2"/>
        </w:rPr>
        <w:t>反映除上述项目以外其他用于社会保障和就</w:t>
      </w:r>
      <w:r>
        <w:rPr>
          <w:spacing w:val="-3"/>
        </w:rPr>
        <w:t>业方面的支</w:t>
      </w:r>
      <w:r>
        <w:t xml:space="preserve"> </w:t>
      </w:r>
      <w:r>
        <w:rPr>
          <w:spacing w:val="-21"/>
        </w:rPr>
        <w:t>出。</w:t>
      </w:r>
    </w:p>
    <w:p w14:paraId="10BDD873">
      <w:pPr>
        <w:pStyle w:val="2"/>
        <w:spacing w:before="55" w:line="219" w:lineRule="auto"/>
        <w:ind w:left="555"/>
      </w:pPr>
      <w:r>
        <w:rPr>
          <w:b/>
          <w:bCs/>
          <w:spacing w:val="-4"/>
        </w:rPr>
        <w:t>25、卫生健康支出（类）</w:t>
      </w:r>
      <w:r>
        <w:rPr>
          <w:spacing w:val="-69"/>
        </w:rPr>
        <w:t xml:space="preserve"> </w:t>
      </w:r>
      <w:r>
        <w:rPr>
          <w:b/>
          <w:bCs/>
          <w:spacing w:val="-4"/>
        </w:rPr>
        <w:t>:</w:t>
      </w:r>
      <w:r>
        <w:rPr>
          <w:spacing w:val="-4"/>
        </w:rPr>
        <w:t>反映政府卫生健康方面的支出</w:t>
      </w:r>
    </w:p>
    <w:p w14:paraId="0DD8DD6A">
      <w:pPr>
        <w:pStyle w:val="2"/>
        <w:spacing w:before="328" w:line="422" w:lineRule="auto"/>
        <w:ind w:left="5" w:right="90" w:firstLine="550"/>
      </w:pPr>
      <w:r>
        <w:rPr>
          <w:b/>
          <w:bCs/>
          <w:spacing w:val="-3"/>
        </w:rPr>
        <w:t>26、卫生健康支出（类）行政事业单位医疗（款）:</w:t>
      </w:r>
      <w:r>
        <w:rPr>
          <w:spacing w:val="-3"/>
        </w:rPr>
        <w:t>反映行政事业</w:t>
      </w:r>
      <w:r>
        <w:rPr>
          <w:spacing w:val="-4"/>
        </w:rPr>
        <w:t>单位医疗</w:t>
      </w:r>
      <w:r>
        <w:t xml:space="preserve"> </w:t>
      </w:r>
      <w:r>
        <w:rPr>
          <w:spacing w:val="-7"/>
        </w:rPr>
        <w:t>方面的支出。</w:t>
      </w:r>
    </w:p>
    <w:p w14:paraId="4497DD45">
      <w:pPr>
        <w:pStyle w:val="2"/>
        <w:spacing w:before="37" w:line="428" w:lineRule="auto"/>
        <w:ind w:left="3" w:right="89" w:firstLine="552"/>
        <w:jc w:val="both"/>
      </w:pPr>
      <w:r>
        <w:rPr>
          <w:b/>
          <w:bCs/>
          <w:spacing w:val="-6"/>
        </w:rPr>
        <w:t>27、卫生健康支出（类）行政事业单位医疗（款）行政单位医疗（项）</w:t>
      </w:r>
      <w:r>
        <w:rPr>
          <w:spacing w:val="-67"/>
        </w:rPr>
        <w:t xml:space="preserve"> </w:t>
      </w:r>
      <w:r>
        <w:rPr>
          <w:b/>
          <w:bCs/>
          <w:spacing w:val="-6"/>
        </w:rPr>
        <w:t>:</w:t>
      </w:r>
      <w:r>
        <w:rPr>
          <w:spacing w:val="-6"/>
        </w:rPr>
        <w:t>反</w:t>
      </w:r>
      <w:r>
        <w:t xml:space="preserve"> </w:t>
      </w:r>
      <w:r>
        <w:rPr>
          <w:spacing w:val="2"/>
        </w:rPr>
        <w:t>映财政部门安排的行政单位（包括实行公务员管理的事业单位，下同）基本医</w:t>
      </w:r>
      <w:r>
        <w:rPr>
          <w:spacing w:val="18"/>
        </w:rPr>
        <w:t xml:space="preserve"> </w:t>
      </w:r>
      <w:r>
        <w:rPr>
          <w:spacing w:val="2"/>
        </w:rPr>
        <w:t>疗保险缴费经费，未参加医疗保险的行政单位的公费医疗经费，按国家规定享</w:t>
      </w:r>
      <w:r>
        <w:rPr>
          <w:spacing w:val="18"/>
        </w:rPr>
        <w:t xml:space="preserve"> </w:t>
      </w:r>
      <w:r>
        <w:rPr>
          <w:spacing w:val="-2"/>
        </w:rPr>
        <w:t>受离休人员、红军老战士待遇人员的医疗经费。</w:t>
      </w:r>
    </w:p>
    <w:p w14:paraId="4B7D5536">
      <w:pPr>
        <w:pStyle w:val="2"/>
        <w:spacing w:before="46" w:line="425" w:lineRule="auto"/>
        <w:ind w:right="89" w:firstLine="555"/>
        <w:jc w:val="both"/>
      </w:pPr>
      <w:r>
        <w:rPr>
          <w:b/>
          <w:bCs/>
          <w:spacing w:val="-6"/>
        </w:rPr>
        <w:t>28、卫生健康支出（类）行政事业单位医疗（款）事业单位医疗（项）</w:t>
      </w:r>
      <w:r>
        <w:rPr>
          <w:spacing w:val="-67"/>
        </w:rPr>
        <w:t xml:space="preserve"> </w:t>
      </w:r>
      <w:r>
        <w:rPr>
          <w:b/>
          <w:bCs/>
          <w:spacing w:val="-6"/>
        </w:rPr>
        <w:t>:</w:t>
      </w:r>
      <w:r>
        <w:rPr>
          <w:spacing w:val="-6"/>
        </w:rPr>
        <w:t>反</w:t>
      </w:r>
      <w:r>
        <w:t xml:space="preserve"> </w:t>
      </w:r>
      <w:r>
        <w:rPr>
          <w:spacing w:val="3"/>
        </w:rPr>
        <w:t>映财政部门安排的事业单位基本医疗保险缴费经</w:t>
      </w:r>
      <w:r>
        <w:rPr>
          <w:spacing w:val="2"/>
        </w:rPr>
        <w:t>费，未参加医疗保险的事业单</w:t>
      </w:r>
      <w:r>
        <w:t xml:space="preserve"> </w:t>
      </w:r>
      <w:r>
        <w:rPr>
          <w:spacing w:val="-2"/>
        </w:rPr>
        <w:t>位的公费医疗经费，按国家规定享受离休人员待遇的医疗经费。</w:t>
      </w:r>
    </w:p>
    <w:p w14:paraId="1CE96F80">
      <w:pPr>
        <w:pStyle w:val="2"/>
        <w:spacing w:before="46" w:line="217" w:lineRule="auto"/>
        <w:ind w:left="555"/>
        <w:outlineLvl w:val="3"/>
      </w:pPr>
      <w:r>
        <w:rPr>
          <w:b/>
          <w:bCs/>
          <w:spacing w:val="-5"/>
        </w:rPr>
        <w:t>29、卫生健康支出（类）行政事业单位医疗（款）公务员医疗补助（项）</w:t>
      </w:r>
      <w:r>
        <w:rPr>
          <w:spacing w:val="-64"/>
        </w:rPr>
        <w:t xml:space="preserve"> </w:t>
      </w:r>
      <w:r>
        <w:rPr>
          <w:b/>
          <w:bCs/>
          <w:spacing w:val="-5"/>
        </w:rPr>
        <w:t>:</w:t>
      </w:r>
    </w:p>
    <w:p w14:paraId="75423A81">
      <w:pPr>
        <w:pStyle w:val="2"/>
        <w:spacing w:before="331" w:line="218" w:lineRule="auto"/>
      </w:pPr>
      <w:r>
        <w:rPr>
          <w:spacing w:val="-3"/>
        </w:rPr>
        <w:t>反映财政部门安排的公务员医疗补助经费。</w:t>
      </w:r>
    </w:p>
    <w:p w14:paraId="3258A7FA">
      <w:pPr>
        <w:pStyle w:val="2"/>
        <w:spacing w:before="330" w:line="217" w:lineRule="auto"/>
        <w:ind w:left="557"/>
      </w:pPr>
      <w:r>
        <w:rPr>
          <w:b/>
          <w:bCs/>
          <w:spacing w:val="-5"/>
        </w:rPr>
        <w:t>30、节能环保支出（类）</w:t>
      </w:r>
      <w:r>
        <w:rPr>
          <w:spacing w:val="-71"/>
        </w:rPr>
        <w:t xml:space="preserve"> </w:t>
      </w:r>
      <w:r>
        <w:rPr>
          <w:b/>
          <w:bCs/>
          <w:spacing w:val="-5"/>
        </w:rPr>
        <w:t>:</w:t>
      </w:r>
      <w:r>
        <w:rPr>
          <w:spacing w:val="-5"/>
        </w:rPr>
        <w:t>反映政府节能环保</w:t>
      </w:r>
      <w:r>
        <w:rPr>
          <w:spacing w:val="-6"/>
        </w:rPr>
        <w:t>支出。</w:t>
      </w:r>
    </w:p>
    <w:p w14:paraId="6293CAE5">
      <w:pPr>
        <w:pStyle w:val="2"/>
        <w:spacing w:before="332" w:line="420" w:lineRule="auto"/>
        <w:ind w:right="90" w:firstLine="557"/>
      </w:pPr>
      <w:r>
        <w:rPr>
          <w:b/>
          <w:bCs/>
          <w:spacing w:val="-3"/>
        </w:rPr>
        <w:t>31、节能环保支出（类）其他节能环保支出（款）:</w:t>
      </w:r>
      <w:r>
        <w:rPr>
          <w:spacing w:val="-3"/>
        </w:rPr>
        <w:t>反映除上</w:t>
      </w:r>
      <w:r>
        <w:rPr>
          <w:spacing w:val="-4"/>
        </w:rPr>
        <w:t>述项目以外其</w:t>
      </w:r>
      <w:r>
        <w:t xml:space="preserve"> </w:t>
      </w:r>
      <w:r>
        <w:rPr>
          <w:spacing w:val="-2"/>
        </w:rPr>
        <w:t>他用于节能环保方面的支出。</w:t>
      </w:r>
    </w:p>
    <w:p w14:paraId="63557A1C">
      <w:pPr>
        <w:pStyle w:val="2"/>
        <w:spacing w:before="45" w:line="217" w:lineRule="auto"/>
        <w:ind w:left="557"/>
        <w:outlineLvl w:val="3"/>
      </w:pPr>
      <w:r>
        <w:rPr>
          <w:b/>
          <w:bCs/>
          <w:spacing w:val="-11"/>
        </w:rPr>
        <w:t>32、节能环保支出（类）其他节能环保支出（款）其他节能环保支出（项）:</w:t>
      </w:r>
    </w:p>
    <w:p w14:paraId="6760884A">
      <w:pPr>
        <w:pStyle w:val="2"/>
        <w:spacing w:before="331" w:line="217" w:lineRule="auto"/>
      </w:pPr>
      <w:r>
        <w:rPr>
          <w:spacing w:val="-2"/>
        </w:rPr>
        <w:t>反映除上述项目以外其他用于节能环保方面的支出。</w:t>
      </w:r>
    </w:p>
    <w:p w14:paraId="41AAE4A8">
      <w:pPr>
        <w:pStyle w:val="2"/>
        <w:spacing w:before="331" w:line="421" w:lineRule="auto"/>
        <w:ind w:left="5" w:firstLine="552"/>
      </w:pPr>
      <w:r>
        <w:rPr>
          <w:b/>
          <w:bCs/>
          <w:spacing w:val="-8"/>
        </w:rPr>
        <w:t>33、资源勘探工业信息等支出（类）:</w:t>
      </w:r>
      <w:r>
        <w:rPr>
          <w:spacing w:val="-8"/>
        </w:rPr>
        <w:t>反映用于资源勘探、制造业、建筑业、</w:t>
      </w:r>
      <w:r>
        <w:rPr>
          <w:spacing w:val="1"/>
        </w:rPr>
        <w:t xml:space="preserve"> </w:t>
      </w:r>
      <w:r>
        <w:rPr>
          <w:spacing w:val="-5"/>
        </w:rPr>
        <w:t>工业信息等方面支出。</w:t>
      </w:r>
    </w:p>
    <w:p w14:paraId="65B416DD">
      <w:pPr>
        <w:pStyle w:val="2"/>
        <w:spacing w:before="42" w:line="422" w:lineRule="auto"/>
        <w:ind w:left="13" w:right="88" w:firstLine="544"/>
      </w:pPr>
      <w:r>
        <w:rPr>
          <w:b/>
          <w:bCs/>
          <w:spacing w:val="-3"/>
        </w:rPr>
        <w:t>34、资源勘探工业信息等支出（类）工业</w:t>
      </w:r>
      <w:r>
        <w:rPr>
          <w:b/>
          <w:bCs/>
          <w:spacing w:val="-4"/>
        </w:rPr>
        <w:t>和信息产业（款）:</w:t>
      </w:r>
      <w:r>
        <w:rPr>
          <w:spacing w:val="-4"/>
        </w:rPr>
        <w:t>反映工业和信</w:t>
      </w:r>
      <w:r>
        <w:t xml:space="preserve"> </w:t>
      </w:r>
      <w:r>
        <w:rPr>
          <w:spacing w:val="-4"/>
        </w:rPr>
        <w:t>息产业方面的支出。</w:t>
      </w:r>
    </w:p>
    <w:p w14:paraId="65FD41C2">
      <w:pPr>
        <w:pStyle w:val="2"/>
        <w:spacing w:before="55" w:line="218" w:lineRule="auto"/>
        <w:ind w:left="559"/>
        <w:outlineLvl w:val="3"/>
      </w:pPr>
      <w:r>
        <w:rPr>
          <w:b/>
          <w:bCs/>
          <w:spacing w:val="-11"/>
        </w:rPr>
        <w:t>35、资源勘探工业信息等支出（类）工业和信息产业（款）产业发展（项）:</w:t>
      </w:r>
    </w:p>
    <w:p w14:paraId="01A2D27D">
      <w:pPr>
        <w:pStyle w:val="2"/>
        <w:spacing w:before="329" w:line="218" w:lineRule="auto"/>
        <w:ind w:left="1"/>
      </w:pPr>
      <w:r>
        <w:rPr>
          <w:spacing w:val="-2"/>
        </w:rPr>
        <w:t>反映工业和信息化产业发展的支出。</w:t>
      </w:r>
    </w:p>
    <w:p w14:paraId="1755E145">
      <w:pPr>
        <w:pStyle w:val="2"/>
        <w:spacing w:before="329" w:line="217" w:lineRule="auto"/>
        <w:ind w:left="559"/>
      </w:pPr>
      <w:r>
        <w:rPr>
          <w:b/>
          <w:bCs/>
          <w:spacing w:val="-5"/>
        </w:rPr>
        <w:t>36、住房保障支出（类）</w:t>
      </w:r>
      <w:r>
        <w:rPr>
          <w:spacing w:val="-57"/>
        </w:rPr>
        <w:t xml:space="preserve"> </w:t>
      </w:r>
      <w:r>
        <w:rPr>
          <w:b/>
          <w:bCs/>
          <w:spacing w:val="-5"/>
        </w:rPr>
        <w:t>:</w:t>
      </w:r>
      <w:r>
        <w:rPr>
          <w:spacing w:val="-5"/>
        </w:rPr>
        <w:t>集中反映政府用于住房方面的支出。</w:t>
      </w:r>
    </w:p>
    <w:p w14:paraId="400415E1">
      <w:pPr>
        <w:pStyle w:val="2"/>
        <w:spacing w:before="330" w:line="421" w:lineRule="auto"/>
        <w:ind w:right="91" w:firstLine="559"/>
      </w:pPr>
      <w:r>
        <w:rPr>
          <w:b/>
          <w:bCs/>
          <w:spacing w:val="-3"/>
        </w:rPr>
        <w:t>37、住房保障支出（类）住房改革支出（款）:</w:t>
      </w:r>
      <w:r>
        <w:rPr>
          <w:spacing w:val="-3"/>
        </w:rPr>
        <w:t>反映行政事业单位用财政拨</w:t>
      </w:r>
      <w:r>
        <w:t xml:space="preserve"> </w:t>
      </w:r>
      <w:r>
        <w:rPr>
          <w:spacing w:val="-3"/>
        </w:rPr>
        <w:t>款资金和其他资金等安排的住房改革支出。</w:t>
      </w:r>
    </w:p>
    <w:p w14:paraId="6DCF3B25">
      <w:pPr>
        <w:pStyle w:val="2"/>
        <w:spacing w:before="42" w:line="426" w:lineRule="auto"/>
        <w:ind w:right="92" w:firstLine="558"/>
      </w:pPr>
      <w:r>
        <w:rPr>
          <w:b/>
          <w:bCs/>
          <w:spacing w:val="-4"/>
        </w:rPr>
        <w:t>38、住房保障支出（类）住房改革支出（款）住房公积金（项）:</w:t>
      </w:r>
      <w:r>
        <w:rPr>
          <w:spacing w:val="-4"/>
        </w:rPr>
        <w:t>反映行政</w:t>
      </w:r>
      <w:r>
        <w:rPr>
          <w:spacing w:val="9"/>
        </w:rPr>
        <w:t xml:space="preserve"> </w:t>
      </w:r>
      <w:r>
        <w:rPr>
          <w:spacing w:val="3"/>
        </w:rPr>
        <w:t>事业单位按人事部和财政部规定的基本工资和津贴</w:t>
      </w:r>
      <w:r>
        <w:rPr>
          <w:spacing w:val="2"/>
        </w:rPr>
        <w:t>补贴以及规定比例为职工缴</w:t>
      </w:r>
      <w:r>
        <w:t xml:space="preserve"> </w:t>
      </w:r>
      <w:r>
        <w:rPr>
          <w:spacing w:val="-2"/>
        </w:rPr>
        <w:t>纳的住房公积金。</w:t>
      </w:r>
    </w:p>
    <w:p w14:paraId="6E82723C">
      <w:pPr>
        <w:pStyle w:val="2"/>
        <w:spacing w:before="45" w:line="420" w:lineRule="auto"/>
        <w:ind w:left="17" w:right="94" w:firstLine="542"/>
      </w:pPr>
      <w:r>
        <w:rPr>
          <w:b/>
          <w:bCs/>
          <w:spacing w:val="-2"/>
        </w:rPr>
        <w:t>39、工资福利支出（类）:</w:t>
      </w:r>
      <w:r>
        <w:rPr>
          <w:spacing w:val="-2"/>
        </w:rPr>
        <w:t>反映单位开支的在职职</w:t>
      </w:r>
      <w:r>
        <w:rPr>
          <w:spacing w:val="-3"/>
        </w:rPr>
        <w:t>工和编制外长期聘用人员</w:t>
      </w:r>
      <w:r>
        <w:t xml:space="preserve"> </w:t>
      </w:r>
      <w:r>
        <w:rPr>
          <w:spacing w:val="-3"/>
        </w:rPr>
        <w:t>的各类劳动报酬，以及为上述人员缴纳的各项社会保险费等。</w:t>
      </w:r>
    </w:p>
    <w:p w14:paraId="587EE413">
      <w:pPr>
        <w:pStyle w:val="2"/>
        <w:spacing w:before="40" w:line="431" w:lineRule="auto"/>
        <w:ind w:firstLine="553"/>
      </w:pPr>
      <w:r>
        <w:rPr>
          <w:b/>
          <w:bCs/>
          <w:spacing w:val="-3"/>
        </w:rPr>
        <w:t>40、工资福利支出（类）基本工资（款）:</w:t>
      </w:r>
      <w:r>
        <w:rPr>
          <w:spacing w:val="-3"/>
        </w:rPr>
        <w:t>反映按规定发放的基本工资，包</w:t>
      </w:r>
      <w:r>
        <w:rPr>
          <w:spacing w:val="5"/>
        </w:rPr>
        <w:t xml:space="preserve">  </w:t>
      </w:r>
      <w:r>
        <w:rPr>
          <w:spacing w:val="3"/>
        </w:rPr>
        <w:t>括公务员的职务工资、级别工资；机关工人的岗位工</w:t>
      </w:r>
      <w:r>
        <w:rPr>
          <w:spacing w:val="2"/>
        </w:rPr>
        <w:t>资、技术等级工资；事业</w:t>
      </w:r>
      <w:r>
        <w:t xml:space="preserve"> </w:t>
      </w:r>
      <w:r>
        <w:rPr>
          <w:spacing w:val="-5"/>
        </w:rPr>
        <w:t>单位工作人员的岗位工资、薪级工资；各类学校毕业生试用期（见习期）</w:t>
      </w:r>
      <w:r>
        <w:rPr>
          <w:spacing w:val="-51"/>
        </w:rPr>
        <w:t xml:space="preserve"> </w:t>
      </w:r>
      <w:r>
        <w:rPr>
          <w:spacing w:val="-5"/>
        </w:rPr>
        <w:t>工资、</w:t>
      </w:r>
      <w:r>
        <w:t xml:space="preserve"> </w:t>
      </w:r>
      <w:r>
        <w:rPr>
          <w:spacing w:val="3"/>
        </w:rPr>
        <w:t>新参加工作工人学徒期、熟练期工资；军队（含武警</w:t>
      </w:r>
      <w:r>
        <w:rPr>
          <w:spacing w:val="2"/>
        </w:rPr>
        <w:t>）军官、文职干部的职务</w:t>
      </w:r>
      <w:r>
        <w:t xml:space="preserve"> </w:t>
      </w:r>
      <w:r>
        <w:rPr>
          <w:spacing w:val="3"/>
        </w:rPr>
        <w:t>（专业技术等级）工资、军衔（级别）工资和军龄工</w:t>
      </w:r>
      <w:r>
        <w:rPr>
          <w:spacing w:val="2"/>
        </w:rPr>
        <w:t>资；军队士官的军衔等级</w:t>
      </w:r>
      <w:r>
        <w:t xml:space="preserve"> </w:t>
      </w:r>
      <w:r>
        <w:rPr>
          <w:spacing w:val="-2"/>
        </w:rPr>
        <w:t>工资和军龄工资等。</w:t>
      </w:r>
    </w:p>
    <w:p w14:paraId="7CA00842">
      <w:pPr>
        <w:pStyle w:val="2"/>
        <w:spacing w:before="42" w:line="428" w:lineRule="auto"/>
        <w:ind w:right="102" w:firstLine="552"/>
        <w:rPr>
          <w:spacing w:val="3"/>
        </w:rPr>
      </w:pPr>
      <w:r>
        <w:rPr>
          <w:b/>
          <w:bCs/>
          <w:spacing w:val="-3"/>
        </w:rPr>
        <w:t>41、工资福利支出（类）津贴补贴（款）:</w:t>
      </w:r>
      <w:r>
        <w:rPr>
          <w:spacing w:val="-3"/>
        </w:rPr>
        <w:t>反映按规定发放的津贴、补贴，</w:t>
      </w:r>
      <w:r>
        <w:t xml:space="preserve"> </w:t>
      </w:r>
      <w:r>
        <w:rPr>
          <w:spacing w:val="3"/>
        </w:rPr>
        <w:t>包括机关工作人员工作性津贴、生活性补贴、地区</w:t>
      </w:r>
      <w:r>
        <w:rPr>
          <w:spacing w:val="2"/>
        </w:rPr>
        <w:t>附加津贴、岗位津贴，机关</w:t>
      </w:r>
      <w:r>
        <w:t xml:space="preserve"> </w:t>
      </w:r>
      <w:r>
        <w:rPr>
          <w:spacing w:val="3"/>
        </w:rPr>
        <w:t>事业单位艰苦边远地区津贴，事业单位工作人员特</w:t>
      </w:r>
      <w:r>
        <w:rPr>
          <w:spacing w:val="2"/>
        </w:rPr>
        <w:t>殊岗位津贴补贴，机关事业</w:t>
      </w:r>
      <w:r>
        <w:t xml:space="preserve"> </w:t>
      </w:r>
      <w:r>
        <w:rPr>
          <w:spacing w:val="-1"/>
        </w:rPr>
        <w:t>单位提租补贴、购房补贴、采暖补贴、</w:t>
      </w:r>
      <w:r>
        <w:rPr>
          <w:spacing w:val="3"/>
        </w:rPr>
        <w:t>物业服务补贴等。</w:t>
      </w:r>
    </w:p>
    <w:p w14:paraId="444DAE66">
      <w:pPr>
        <w:pStyle w:val="2"/>
        <w:spacing w:before="42" w:line="428" w:lineRule="auto"/>
        <w:ind w:right="102" w:firstLine="552"/>
        <w:rPr>
          <w:spacing w:val="3"/>
        </w:rPr>
      </w:pPr>
      <w:r>
        <w:rPr>
          <w:b/>
          <w:bCs/>
          <w:spacing w:val="-3"/>
        </w:rPr>
        <w:t>42、工资福利支出（类）奖金（款）:</w:t>
      </w:r>
      <w:r>
        <w:rPr>
          <w:spacing w:val="3"/>
        </w:rPr>
        <w:t>反映按照规定发放的奖金，包括机关工作人员年终一次性奖金、绩效奖金（基础绩效奖、年度绩效奖）等。</w:t>
      </w:r>
    </w:p>
    <w:p w14:paraId="15E97338">
      <w:pPr>
        <w:pStyle w:val="2"/>
        <w:spacing w:before="42" w:line="428" w:lineRule="auto"/>
        <w:ind w:right="102" w:firstLine="552"/>
      </w:pPr>
      <w:r>
        <w:rPr>
          <w:b/>
          <w:bCs/>
          <w:spacing w:val="-3"/>
        </w:rPr>
        <w:t>43、工资福利支出（类）绩效工资（款）:</w:t>
      </w:r>
      <w:r>
        <w:rPr>
          <w:spacing w:val="-3"/>
        </w:rPr>
        <w:t>反映事业单位工作人员的绩效工</w:t>
      </w:r>
      <w:r>
        <w:rPr>
          <w:spacing w:val="12"/>
        </w:rPr>
        <w:t xml:space="preserve"> </w:t>
      </w:r>
      <w:r>
        <w:rPr>
          <w:spacing w:val="-18"/>
        </w:rPr>
        <w:t>资。</w:t>
      </w:r>
    </w:p>
    <w:p w14:paraId="08DB1BC9">
      <w:pPr>
        <w:pStyle w:val="2"/>
        <w:spacing w:before="39" w:line="425" w:lineRule="auto"/>
        <w:ind w:firstLine="552"/>
      </w:pPr>
      <w:r>
        <w:rPr>
          <w:b/>
          <w:bCs/>
          <w:spacing w:val="-3"/>
        </w:rPr>
        <w:t>44、工资福利支出（类）机关事业单位基本养</w:t>
      </w:r>
      <w:r>
        <w:rPr>
          <w:b/>
          <w:bCs/>
          <w:spacing w:val="-4"/>
        </w:rPr>
        <w:t>老保险缴费（款）:</w:t>
      </w:r>
      <w:r>
        <w:rPr>
          <w:spacing w:val="-4"/>
        </w:rPr>
        <w:t>反映机关</w:t>
      </w:r>
      <w:r>
        <w:t xml:space="preserve"> </w:t>
      </w:r>
      <w:r>
        <w:rPr>
          <w:spacing w:val="3"/>
        </w:rPr>
        <w:t>事业单位缴纳的基本养老保险费。由单位代扣的工作</w:t>
      </w:r>
      <w:r>
        <w:rPr>
          <w:spacing w:val="2"/>
        </w:rPr>
        <w:t>人员基本养老保险缴费，</w:t>
      </w:r>
      <w:r>
        <w:t xml:space="preserve"> </w:t>
      </w:r>
      <w:r>
        <w:rPr>
          <w:spacing w:val="-2"/>
        </w:rPr>
        <w:t>不在此科目反映。</w:t>
      </w:r>
    </w:p>
    <w:p w14:paraId="30E29BD7">
      <w:pPr>
        <w:pStyle w:val="2"/>
        <w:spacing w:before="46" w:line="421" w:lineRule="auto"/>
        <w:ind w:left="4" w:right="5" w:firstLine="548"/>
      </w:pPr>
      <w:r>
        <w:rPr>
          <w:b/>
          <w:bCs/>
          <w:spacing w:val="-3"/>
        </w:rPr>
        <w:t>45、工资福利支出（类）职工基本医疗保险缴费（款）:</w:t>
      </w:r>
      <w:r>
        <w:rPr>
          <w:spacing w:val="-3"/>
        </w:rPr>
        <w:t>反</w:t>
      </w:r>
      <w:r>
        <w:rPr>
          <w:spacing w:val="-4"/>
        </w:rPr>
        <w:t>映单位为职工缴</w:t>
      </w:r>
      <w:r>
        <w:t xml:space="preserve"> </w:t>
      </w:r>
      <w:r>
        <w:rPr>
          <w:spacing w:val="-2"/>
        </w:rPr>
        <w:t>纳的基本医疗保险（含生育保险）费。</w:t>
      </w:r>
    </w:p>
    <w:p w14:paraId="0871722F">
      <w:pPr>
        <w:pStyle w:val="2"/>
        <w:spacing w:before="45" w:line="420" w:lineRule="auto"/>
        <w:ind w:left="8" w:right="5" w:firstLine="544"/>
        <w:rPr>
          <w:spacing w:val="-3"/>
        </w:rPr>
      </w:pPr>
      <w:r>
        <w:rPr>
          <w:b/>
          <w:bCs/>
          <w:spacing w:val="-3"/>
        </w:rPr>
        <w:t>46、工资福利支出（类）公务员医疗补助缴费（款）:</w:t>
      </w:r>
      <w:r>
        <w:rPr>
          <w:spacing w:val="-3"/>
        </w:rPr>
        <w:t>反映按规定</w:t>
      </w:r>
      <w:r>
        <w:rPr>
          <w:spacing w:val="-4"/>
        </w:rPr>
        <w:t>可享受公</w:t>
      </w:r>
      <w:r>
        <w:t xml:space="preserve"> </w:t>
      </w:r>
      <w:r>
        <w:rPr>
          <w:spacing w:val="-3"/>
        </w:rPr>
        <w:t>务员医疗补助单位为职工缴纳的公务员医疗补助费。</w:t>
      </w:r>
    </w:p>
    <w:p w14:paraId="0A750C3A">
      <w:pPr>
        <w:pStyle w:val="2"/>
        <w:spacing w:before="45" w:line="420" w:lineRule="auto"/>
        <w:ind w:left="8" w:right="5" w:firstLine="544"/>
      </w:pPr>
      <w:r>
        <w:rPr>
          <w:b/>
          <w:bCs/>
          <w:spacing w:val="-3"/>
        </w:rPr>
        <w:t>47、工资福利支出（类）其他社会保障缴费（款）:</w:t>
      </w:r>
      <w:r>
        <w:rPr>
          <w:spacing w:val="-3"/>
        </w:rPr>
        <w:t>反映单位为职工缴纳的</w:t>
      </w:r>
      <w:r>
        <w:rPr>
          <w:spacing w:val="1"/>
        </w:rPr>
        <w:t xml:space="preserve"> </w:t>
      </w:r>
      <w:r>
        <w:rPr>
          <w:spacing w:val="3"/>
        </w:rPr>
        <w:t>失业、工伤等社会保险费，军队(含武警)为军人缴纳的退役养</w:t>
      </w:r>
      <w:r>
        <w:rPr>
          <w:spacing w:val="2"/>
        </w:rPr>
        <w:t>老、医疗等社会</w:t>
      </w:r>
      <w:r>
        <w:t xml:space="preserve"> </w:t>
      </w:r>
      <w:r>
        <w:rPr>
          <w:spacing w:val="-11"/>
        </w:rPr>
        <w:t>保险费。</w:t>
      </w:r>
    </w:p>
    <w:p w14:paraId="1409F618">
      <w:pPr>
        <w:pStyle w:val="2"/>
        <w:spacing w:before="44" w:line="421" w:lineRule="auto"/>
        <w:ind w:left="17" w:right="3" w:firstLine="535"/>
      </w:pPr>
      <w:r>
        <w:rPr>
          <w:b/>
          <w:bCs/>
          <w:spacing w:val="-3"/>
        </w:rPr>
        <w:t>48、工资福利支出（类）住房公积金（款）:</w:t>
      </w:r>
      <w:r>
        <w:rPr>
          <w:spacing w:val="-3"/>
        </w:rPr>
        <w:t>反映单位按照规定为职工缴纳</w:t>
      </w:r>
      <w:r>
        <w:rPr>
          <w:spacing w:val="10"/>
        </w:rPr>
        <w:t xml:space="preserve"> </w:t>
      </w:r>
      <w:r>
        <w:rPr>
          <w:spacing w:val="-9"/>
        </w:rPr>
        <w:t>的住房公积金。</w:t>
      </w:r>
    </w:p>
    <w:p w14:paraId="32BED2DB">
      <w:pPr>
        <w:pStyle w:val="2"/>
        <w:spacing w:before="45" w:line="429" w:lineRule="auto"/>
        <w:ind w:right="3" w:firstLine="553"/>
        <w:jc w:val="both"/>
        <w:rPr>
          <w:spacing w:val="3"/>
        </w:rPr>
      </w:pPr>
      <w:r>
        <w:rPr>
          <w:b/>
          <w:bCs/>
          <w:spacing w:val="-3"/>
        </w:rPr>
        <w:t>49、工资福利支出（类）其他工资福利支出（款）:</w:t>
      </w:r>
      <w:r>
        <w:rPr>
          <w:spacing w:val="-3"/>
        </w:rPr>
        <w:t>反映上述科目未包括的</w:t>
      </w:r>
      <w:r>
        <w:rPr>
          <w:spacing w:val="1"/>
        </w:rPr>
        <w:t xml:space="preserve"> </w:t>
      </w:r>
      <w:r>
        <w:rPr>
          <w:spacing w:val="3"/>
        </w:rPr>
        <w:t>工资福利支出，如各种加班工资、病假两个月以上期</w:t>
      </w:r>
      <w:r>
        <w:rPr>
          <w:spacing w:val="2"/>
        </w:rPr>
        <w:t>间的人员工资，职工探亲</w:t>
      </w:r>
      <w:r>
        <w:t xml:space="preserve"> </w:t>
      </w:r>
      <w:r>
        <w:rPr>
          <w:spacing w:val="3"/>
        </w:rPr>
        <w:t>旅费，困难职工生活补助，编制外长期聘用人员（不</w:t>
      </w:r>
      <w:r>
        <w:rPr>
          <w:spacing w:val="2"/>
        </w:rPr>
        <w:t>包括劳务派遣人员）劳务</w:t>
      </w:r>
      <w:r>
        <w:t xml:space="preserve"> </w:t>
      </w:r>
      <w:r>
        <w:rPr>
          <w:spacing w:val="3"/>
        </w:rPr>
        <w:t>报酬及社保缴费，公务员及参照公务员法管理的事业</w:t>
      </w:r>
      <w:r>
        <w:rPr>
          <w:spacing w:val="2"/>
        </w:rPr>
        <w:t>单位工作人员转入企业工</w:t>
      </w:r>
      <w:r>
        <w:t xml:space="preserve"> </w:t>
      </w:r>
      <w:r>
        <w:rPr>
          <w:spacing w:val="-2"/>
        </w:rPr>
        <w:t>作并按规定参加企业职工基本养老保险后给予</w:t>
      </w:r>
      <w:r>
        <w:rPr>
          <w:spacing w:val="3"/>
        </w:rPr>
        <w:t>的一次性补贴等。</w:t>
      </w:r>
    </w:p>
    <w:p w14:paraId="43259676">
      <w:pPr>
        <w:pStyle w:val="2"/>
        <w:spacing w:before="45" w:line="429" w:lineRule="auto"/>
        <w:ind w:right="3" w:firstLine="553"/>
        <w:jc w:val="both"/>
        <w:rPr>
          <w:spacing w:val="3"/>
        </w:rPr>
      </w:pPr>
      <w:r>
        <w:rPr>
          <w:b/>
          <w:bCs/>
          <w:spacing w:val="-3"/>
        </w:rPr>
        <w:t>50、商品和服务支出（类）:</w:t>
      </w:r>
      <w:r>
        <w:rPr>
          <w:spacing w:val="3"/>
        </w:rPr>
        <w:t>反映单位购买商品和服务的支出（不包括用于购置固定资产、战略性和应急性物资储备等资本性支出。）</w:t>
      </w:r>
    </w:p>
    <w:p w14:paraId="1D9AE679">
      <w:pPr>
        <w:pStyle w:val="2"/>
        <w:spacing w:before="45" w:line="429" w:lineRule="auto"/>
        <w:ind w:right="3" w:firstLine="553"/>
        <w:jc w:val="both"/>
      </w:pPr>
      <w:r>
        <w:rPr>
          <w:b/>
          <w:bCs/>
          <w:spacing w:val="-3"/>
        </w:rPr>
        <w:t>51、商品和服务支出（类）办公费（款）:</w:t>
      </w:r>
      <w:r>
        <w:rPr>
          <w:spacing w:val="-3"/>
        </w:rPr>
        <w:t>反映单位购日常办公用品、书报</w:t>
      </w:r>
      <w:r>
        <w:rPr>
          <w:spacing w:val="3"/>
        </w:rPr>
        <w:t xml:space="preserve"> </w:t>
      </w:r>
      <w:r>
        <w:rPr>
          <w:spacing w:val="-7"/>
        </w:rPr>
        <w:t>杂志等支出。</w:t>
      </w:r>
    </w:p>
    <w:p w14:paraId="0119C04F">
      <w:pPr>
        <w:pStyle w:val="2"/>
        <w:spacing w:before="42" w:line="217" w:lineRule="auto"/>
        <w:ind w:left="558"/>
      </w:pPr>
      <w:r>
        <w:rPr>
          <w:b/>
          <w:bCs/>
          <w:spacing w:val="-2"/>
        </w:rPr>
        <w:t>52、商品和服务支出（类）印刷费（款）:</w:t>
      </w:r>
      <w:r>
        <w:rPr>
          <w:spacing w:val="-2"/>
        </w:rPr>
        <w:t>反映单位的印刷费支出。</w:t>
      </w:r>
    </w:p>
    <w:p w14:paraId="24B1DB3C">
      <w:pPr>
        <w:pStyle w:val="2"/>
        <w:spacing w:before="329" w:line="422" w:lineRule="auto"/>
        <w:ind w:left="10" w:right="94" w:firstLine="548"/>
      </w:pPr>
      <w:r>
        <w:rPr>
          <w:b/>
          <w:bCs/>
          <w:spacing w:val="-5"/>
        </w:rPr>
        <w:t>53、商品和服务支出（类）水费（款）</w:t>
      </w:r>
      <w:r>
        <w:rPr>
          <w:spacing w:val="-60"/>
        </w:rPr>
        <w:t xml:space="preserve"> </w:t>
      </w:r>
      <w:r>
        <w:rPr>
          <w:b/>
          <w:bCs/>
          <w:spacing w:val="-5"/>
        </w:rPr>
        <w:t>:</w:t>
      </w:r>
      <w:r>
        <w:rPr>
          <w:spacing w:val="-5"/>
        </w:rPr>
        <w:t>反映单位支付的水费、污</w:t>
      </w:r>
      <w:r>
        <w:rPr>
          <w:spacing w:val="-6"/>
        </w:rPr>
        <w:t>水处理费</w:t>
      </w:r>
      <w:r>
        <w:t xml:space="preserve"> </w:t>
      </w:r>
      <w:r>
        <w:rPr>
          <w:spacing w:val="-12"/>
        </w:rPr>
        <w:t>等支出。</w:t>
      </w:r>
    </w:p>
    <w:p w14:paraId="5CBCEAFB">
      <w:pPr>
        <w:pStyle w:val="2"/>
        <w:spacing w:before="41" w:line="217" w:lineRule="auto"/>
        <w:ind w:left="558"/>
      </w:pPr>
      <w:r>
        <w:rPr>
          <w:b/>
          <w:bCs/>
          <w:spacing w:val="-3"/>
        </w:rPr>
        <w:t>54、商品和服务支出（类）电费（款）:</w:t>
      </w:r>
      <w:r>
        <w:rPr>
          <w:spacing w:val="-3"/>
        </w:rPr>
        <w:t>反映单位的电费支出。</w:t>
      </w:r>
    </w:p>
    <w:p w14:paraId="5B4839A1">
      <w:pPr>
        <w:pStyle w:val="2"/>
        <w:spacing w:before="332" w:line="420" w:lineRule="auto"/>
        <w:ind w:left="1" w:right="93" w:firstLine="557"/>
        <w:rPr>
          <w:spacing w:val="-2"/>
        </w:rPr>
      </w:pPr>
      <w:r>
        <w:rPr>
          <w:b/>
          <w:bCs/>
          <w:spacing w:val="-5"/>
        </w:rPr>
        <w:t>55、商品和服务支出（类）</w:t>
      </w:r>
      <w:r>
        <w:rPr>
          <w:spacing w:val="-63"/>
        </w:rPr>
        <w:t xml:space="preserve"> </w:t>
      </w:r>
      <w:r>
        <w:rPr>
          <w:b/>
          <w:bCs/>
          <w:spacing w:val="-5"/>
        </w:rPr>
        <w:t>邮电费（款）:</w:t>
      </w:r>
      <w:r>
        <w:rPr>
          <w:spacing w:val="-5"/>
        </w:rPr>
        <w:t>反映单位开支的信函、包</w:t>
      </w:r>
      <w:r>
        <w:rPr>
          <w:spacing w:val="-6"/>
        </w:rPr>
        <w:t>裹、货</w:t>
      </w:r>
      <w:r>
        <w:t xml:space="preserve"> </w:t>
      </w:r>
      <w:r>
        <w:rPr>
          <w:spacing w:val="-2"/>
        </w:rPr>
        <w:t>物等物品的邮寄费及电话费、电报费、传真费、网络通讯费等。</w:t>
      </w:r>
    </w:p>
    <w:p w14:paraId="291E0062">
      <w:pPr>
        <w:pStyle w:val="2"/>
        <w:spacing w:before="332" w:line="420" w:lineRule="auto"/>
        <w:ind w:left="1" w:right="93" w:firstLine="557"/>
      </w:pPr>
      <w:r>
        <w:rPr>
          <w:b/>
          <w:bCs/>
          <w:spacing w:val="-8"/>
        </w:rPr>
        <w:t>56、商品和服务支出（类）取暖费（款）:</w:t>
      </w:r>
      <w:r>
        <w:rPr>
          <w:spacing w:val="-8"/>
        </w:rPr>
        <w:t>反映单位取暖用燃料费、热力</w:t>
      </w:r>
      <w:r>
        <w:rPr>
          <w:spacing w:val="-9"/>
        </w:rPr>
        <w:t>费、</w:t>
      </w:r>
      <w:r>
        <w:t xml:space="preserve"> </w:t>
      </w:r>
      <w:r>
        <w:rPr>
          <w:spacing w:val="3"/>
        </w:rPr>
        <w:t>炉具购置费、锅炉临时工的工资、节煤奖以及</w:t>
      </w:r>
      <w:r>
        <w:rPr>
          <w:spacing w:val="2"/>
        </w:rPr>
        <w:t>由单位支付的未实行职工住房采</w:t>
      </w:r>
      <w:r>
        <w:t xml:space="preserve"> </w:t>
      </w:r>
      <w:r>
        <w:rPr>
          <w:spacing w:val="-2"/>
        </w:rPr>
        <w:t>暖补贴改革的在职职工和离退休人员宿舍取暖费等。</w:t>
      </w:r>
    </w:p>
    <w:p w14:paraId="1F85F5E7">
      <w:pPr>
        <w:pStyle w:val="2"/>
        <w:spacing w:before="47" w:line="426" w:lineRule="auto"/>
        <w:ind w:left="3" w:right="93" w:firstLine="555"/>
      </w:pPr>
      <w:r>
        <w:rPr>
          <w:b/>
          <w:bCs/>
          <w:spacing w:val="-3"/>
        </w:rPr>
        <w:t>57、商品和服务支出（类）物业管理费（款）:</w:t>
      </w:r>
      <w:r>
        <w:rPr>
          <w:spacing w:val="-3"/>
        </w:rPr>
        <w:t>反映单位开支的办公用房以</w:t>
      </w:r>
      <w:r>
        <w:t xml:space="preserve"> </w:t>
      </w:r>
      <w:r>
        <w:rPr>
          <w:spacing w:val="11"/>
        </w:rPr>
        <w:t>及未实行职工住宅物业服务改革的在职职工和离退休人员宿舍等的物业管理</w:t>
      </w:r>
      <w:r>
        <w:rPr>
          <w:spacing w:val="14"/>
        </w:rPr>
        <w:t xml:space="preserve"> </w:t>
      </w:r>
      <w:r>
        <w:rPr>
          <w:spacing w:val="-1"/>
        </w:rPr>
        <w:t>费，包括综合治理、绿化、卫生等方面的支</w:t>
      </w:r>
      <w:r>
        <w:rPr>
          <w:spacing w:val="-2"/>
        </w:rPr>
        <w:t>出。</w:t>
      </w:r>
    </w:p>
    <w:p w14:paraId="4883BF6E">
      <w:pPr>
        <w:pStyle w:val="2"/>
        <w:spacing w:before="42" w:line="421" w:lineRule="auto"/>
        <w:ind w:left="3" w:right="93" w:firstLine="555"/>
      </w:pPr>
      <w:r>
        <w:rPr>
          <w:b/>
          <w:bCs/>
          <w:spacing w:val="-5"/>
        </w:rPr>
        <w:t>58、商品和服务支出（类）</w:t>
      </w:r>
      <w:r>
        <w:rPr>
          <w:spacing w:val="-66"/>
        </w:rPr>
        <w:t xml:space="preserve"> </w:t>
      </w:r>
      <w:r>
        <w:rPr>
          <w:b/>
          <w:bCs/>
          <w:spacing w:val="-5"/>
        </w:rPr>
        <w:t>差旅费（款）:</w:t>
      </w:r>
      <w:r>
        <w:rPr>
          <w:spacing w:val="-5"/>
        </w:rPr>
        <w:t>反映单位工作人员国（境）内出</w:t>
      </w:r>
      <w:r>
        <w:t xml:space="preserve"> </w:t>
      </w:r>
      <w:r>
        <w:rPr>
          <w:spacing w:val="-2"/>
        </w:rPr>
        <w:t>差发生的城市间交通费、住宿费、伙食补助费和市内交通费。</w:t>
      </w:r>
    </w:p>
    <w:p w14:paraId="11C0A9B9">
      <w:pPr>
        <w:pStyle w:val="2"/>
        <w:spacing w:before="44" w:line="426" w:lineRule="auto"/>
        <w:ind w:left="5" w:right="1" w:firstLine="553"/>
        <w:rPr>
          <w:b/>
          <w:bCs/>
          <w:spacing w:val="-6"/>
        </w:rPr>
      </w:pPr>
      <w:r>
        <w:rPr>
          <w:b/>
          <w:bCs/>
          <w:spacing w:val="-6"/>
        </w:rPr>
        <w:t>59、商品和服务支出（类）因公出国（境）费用（款）</w:t>
      </w:r>
      <w:r>
        <w:rPr>
          <w:spacing w:val="-52"/>
        </w:rPr>
        <w:t xml:space="preserve"> </w:t>
      </w:r>
      <w:r>
        <w:rPr>
          <w:b/>
          <w:bCs/>
          <w:spacing w:val="-6"/>
        </w:rPr>
        <w:t>:</w:t>
      </w:r>
      <w:r>
        <w:rPr>
          <w:spacing w:val="-6"/>
        </w:rPr>
        <w:t>反映单位工作人员</w:t>
      </w:r>
      <w:r>
        <w:t xml:space="preserve">  </w:t>
      </w:r>
      <w:r>
        <w:rPr>
          <w:spacing w:val="-3"/>
        </w:rPr>
        <w:t>公务出国（境）的国际旅费、国外城市间的交通费、住宿费、伙食费、培训费、</w:t>
      </w:r>
      <w:r>
        <w:rPr>
          <w:spacing w:val="13"/>
        </w:rPr>
        <w:t xml:space="preserve"> </w:t>
      </w:r>
      <w:r>
        <w:rPr>
          <w:spacing w:val="-7"/>
        </w:rPr>
        <w:t>公杂费等支出。</w:t>
      </w:r>
    </w:p>
    <w:p w14:paraId="45714316">
      <w:pPr>
        <w:pStyle w:val="2"/>
        <w:spacing w:before="44" w:line="426" w:lineRule="auto"/>
        <w:ind w:left="5" w:right="1" w:firstLine="553"/>
        <w:rPr>
          <w:b/>
          <w:bCs/>
          <w:spacing w:val="-6"/>
        </w:rPr>
      </w:pPr>
      <w:r>
        <w:rPr>
          <w:b/>
          <w:bCs/>
          <w:spacing w:val="-6"/>
        </w:rPr>
        <w:t>60、商品和服务支出（类）维修（护）费（款）:</w:t>
      </w:r>
      <w:r>
        <w:rPr>
          <w:spacing w:val="-6"/>
        </w:rPr>
        <w:t>反映单位日常开支的固定资产(不包括车船等交通工具)修理和维护费用，网络信息系统运行与维护费用。</w:t>
      </w:r>
    </w:p>
    <w:p w14:paraId="6C92FAB1">
      <w:pPr>
        <w:pStyle w:val="2"/>
        <w:spacing w:before="44" w:line="426" w:lineRule="auto"/>
        <w:ind w:left="5" w:right="1" w:firstLine="553"/>
      </w:pPr>
      <w:r>
        <w:rPr>
          <w:b/>
          <w:bCs/>
          <w:spacing w:val="-6"/>
        </w:rPr>
        <w:t>61、商品和服务支出（类） 租</w:t>
      </w:r>
      <w:r>
        <w:rPr>
          <w:b/>
          <w:bCs/>
          <w:spacing w:val="-4"/>
        </w:rPr>
        <w:t>赁费（款）:</w:t>
      </w:r>
      <w:r>
        <w:rPr>
          <w:spacing w:val="-5"/>
        </w:rPr>
        <w:t>反映租赁办公用房、宿舍、专用</w:t>
      </w:r>
      <w:r>
        <w:t xml:space="preserve"> </w:t>
      </w:r>
      <w:r>
        <w:rPr>
          <w:spacing w:val="-2"/>
        </w:rPr>
        <w:t>通讯网以及其他设备等方面的费用。</w:t>
      </w:r>
    </w:p>
    <w:p w14:paraId="7B8BD18C">
      <w:pPr>
        <w:pStyle w:val="2"/>
        <w:spacing w:before="42" w:line="421" w:lineRule="auto"/>
        <w:ind w:left="5" w:right="100" w:firstLine="546"/>
      </w:pPr>
      <w:r>
        <w:rPr>
          <w:b/>
          <w:bCs/>
          <w:spacing w:val="-5"/>
        </w:rPr>
        <w:t>62、商品和服务支出（类）</w:t>
      </w:r>
      <w:r>
        <w:rPr>
          <w:spacing w:val="-63"/>
        </w:rPr>
        <w:t xml:space="preserve"> </w:t>
      </w:r>
      <w:r>
        <w:rPr>
          <w:b/>
          <w:bCs/>
          <w:spacing w:val="-5"/>
        </w:rPr>
        <w:t>会议费（款）:</w:t>
      </w:r>
      <w:r>
        <w:rPr>
          <w:spacing w:val="-5"/>
        </w:rPr>
        <w:t>反映会议期间按规定开支的住宿</w:t>
      </w:r>
      <w:r>
        <w:t xml:space="preserve"> </w:t>
      </w:r>
      <w:r>
        <w:rPr>
          <w:spacing w:val="-2"/>
        </w:rPr>
        <w:t>费、伙食费、会议场地租金、交通费、文件印刷费、医药费</w:t>
      </w:r>
      <w:r>
        <w:rPr>
          <w:spacing w:val="-3"/>
        </w:rPr>
        <w:t>等。</w:t>
      </w:r>
    </w:p>
    <w:p w14:paraId="77EFEAF5">
      <w:pPr>
        <w:pStyle w:val="2"/>
        <w:spacing w:before="44" w:line="426" w:lineRule="auto"/>
        <w:ind w:right="3" w:firstLine="552"/>
        <w:rPr>
          <w:spacing w:val="-5"/>
        </w:rPr>
      </w:pPr>
      <w:r>
        <w:rPr>
          <w:b/>
          <w:bCs/>
          <w:spacing w:val="-4"/>
        </w:rPr>
        <w:t>63、商品和服务支出（类）</w:t>
      </w:r>
      <w:r>
        <w:rPr>
          <w:spacing w:val="-83"/>
        </w:rPr>
        <w:t xml:space="preserve"> </w:t>
      </w:r>
      <w:r>
        <w:rPr>
          <w:b/>
          <w:bCs/>
          <w:spacing w:val="-4"/>
        </w:rPr>
        <w:t>培训费（款）:</w:t>
      </w:r>
      <w:r>
        <w:rPr>
          <w:spacing w:val="-5"/>
        </w:rPr>
        <w:t>反映除因公出国（境）培训费以</w:t>
      </w:r>
      <w:r>
        <w:t xml:space="preserve">  </w:t>
      </w:r>
      <w:r>
        <w:rPr>
          <w:spacing w:val="-2"/>
        </w:rPr>
        <w:t>外的，在培训期间发生的师资费、住宿费、伙</w:t>
      </w:r>
      <w:r>
        <w:rPr>
          <w:spacing w:val="-3"/>
        </w:rPr>
        <w:t>食费、培训场地费、培训资料费、</w:t>
      </w:r>
      <w:r>
        <w:t xml:space="preserve"> </w:t>
      </w:r>
      <w:r>
        <w:rPr>
          <w:spacing w:val="-5"/>
        </w:rPr>
        <w:t>交通费等各类培训费用。</w:t>
      </w:r>
    </w:p>
    <w:p w14:paraId="0F6B550F">
      <w:pPr>
        <w:pStyle w:val="2"/>
        <w:spacing w:before="44" w:line="426" w:lineRule="auto"/>
        <w:ind w:right="3" w:firstLine="552"/>
      </w:pPr>
      <w:r>
        <w:rPr>
          <w:b/>
          <w:bCs/>
          <w:spacing w:val="-3"/>
        </w:rPr>
        <w:t>64、商品和服务支出（类）公务接待费（款）:</w:t>
      </w:r>
      <w:r>
        <w:rPr>
          <w:spacing w:val="-3"/>
        </w:rPr>
        <w:t>反映单位按规定开支的各类</w:t>
      </w:r>
      <w:r>
        <w:rPr>
          <w:spacing w:val="3"/>
        </w:rPr>
        <w:t xml:space="preserve"> </w:t>
      </w:r>
      <w:r>
        <w:rPr>
          <w:spacing w:val="-3"/>
        </w:rPr>
        <w:t>公务接待（含外宾接待）费用。</w:t>
      </w:r>
    </w:p>
    <w:p w14:paraId="5E47E1F6">
      <w:pPr>
        <w:pStyle w:val="2"/>
        <w:spacing w:before="44" w:line="421" w:lineRule="auto"/>
        <w:ind w:left="13" w:right="103" w:firstLine="539"/>
      </w:pPr>
      <w:r>
        <w:rPr>
          <w:b/>
          <w:bCs/>
          <w:spacing w:val="-3"/>
        </w:rPr>
        <w:t>65、商品和服务支出（类）劳务费（款）:</w:t>
      </w:r>
      <w:r>
        <w:rPr>
          <w:spacing w:val="-3"/>
        </w:rPr>
        <w:t>反映支付给个人的劳务费用，如</w:t>
      </w:r>
      <w:r>
        <w:rPr>
          <w:spacing w:val="7"/>
        </w:rPr>
        <w:t xml:space="preserve"> </w:t>
      </w:r>
      <w:r>
        <w:rPr>
          <w:spacing w:val="-2"/>
        </w:rPr>
        <w:t>临时聘用人员钟点工工资，稿费、翻译费，</w:t>
      </w:r>
      <w:r>
        <w:rPr>
          <w:spacing w:val="-3"/>
        </w:rPr>
        <w:t>咨询费、评审费等。</w:t>
      </w:r>
    </w:p>
    <w:p w14:paraId="19098A46">
      <w:pPr>
        <w:pStyle w:val="2"/>
        <w:spacing w:before="44" w:line="421" w:lineRule="auto"/>
        <w:ind w:left="2" w:right="100" w:firstLine="550"/>
      </w:pPr>
      <w:r>
        <w:rPr>
          <w:b/>
          <w:bCs/>
          <w:spacing w:val="-3"/>
        </w:rPr>
        <w:t>66、商品和服务支出（类）委托业务费（款）:</w:t>
      </w:r>
      <w:r>
        <w:rPr>
          <w:spacing w:val="-3"/>
        </w:rPr>
        <w:t>反映因委托外单位办理业务</w:t>
      </w:r>
      <w:r>
        <w:rPr>
          <w:spacing w:val="3"/>
        </w:rPr>
        <w:t xml:space="preserve"> </w:t>
      </w:r>
      <w:r>
        <w:rPr>
          <w:spacing w:val="-5"/>
        </w:rPr>
        <w:t>而支付的委托业务费。</w:t>
      </w:r>
    </w:p>
    <w:p w14:paraId="6B95D266">
      <w:pPr>
        <w:pStyle w:val="2"/>
        <w:spacing w:before="41" w:line="422" w:lineRule="auto"/>
        <w:ind w:left="3" w:right="100" w:firstLine="548"/>
      </w:pPr>
      <w:r>
        <w:rPr>
          <w:b/>
          <w:bCs/>
          <w:spacing w:val="-3"/>
        </w:rPr>
        <w:t>67、商品和服务支出（类）工会经费（款）:</w:t>
      </w:r>
      <w:r>
        <w:rPr>
          <w:spacing w:val="-3"/>
        </w:rPr>
        <w:t>反映单位按规定提取或安排的</w:t>
      </w:r>
      <w:r>
        <w:rPr>
          <w:spacing w:val="6"/>
        </w:rPr>
        <w:t xml:space="preserve"> </w:t>
      </w:r>
      <w:r>
        <w:rPr>
          <w:spacing w:val="-5"/>
        </w:rPr>
        <w:t>工会经费。</w:t>
      </w:r>
    </w:p>
    <w:p w14:paraId="0D4C2903">
      <w:pPr>
        <w:pStyle w:val="2"/>
        <w:spacing w:before="40" w:line="422" w:lineRule="auto"/>
        <w:ind w:left="5" w:right="100" w:firstLine="546"/>
      </w:pPr>
      <w:r>
        <w:rPr>
          <w:b/>
          <w:bCs/>
          <w:spacing w:val="-3"/>
        </w:rPr>
        <w:t>68、商品和服务支出（类）福利费（款）:</w:t>
      </w:r>
      <w:r>
        <w:rPr>
          <w:spacing w:val="-3"/>
        </w:rPr>
        <w:t>反映单位按规定提取的职工福利</w:t>
      </w:r>
      <w:r>
        <w:rPr>
          <w:spacing w:val="9"/>
        </w:rPr>
        <w:t xml:space="preserve"> </w:t>
      </w:r>
      <w:r>
        <w:rPr>
          <w:spacing w:val="-16"/>
        </w:rPr>
        <w:t>费。</w:t>
      </w:r>
    </w:p>
    <w:p w14:paraId="249EEECF">
      <w:pPr>
        <w:pStyle w:val="2"/>
        <w:spacing w:before="40" w:line="426" w:lineRule="auto"/>
        <w:ind w:left="3" w:right="102" w:firstLine="548"/>
        <w:jc w:val="both"/>
      </w:pPr>
      <w:r>
        <w:rPr>
          <w:b/>
          <w:bCs/>
          <w:spacing w:val="-3"/>
        </w:rPr>
        <w:t>69、商品和服务支出（类）公务用车运行维护费（</w:t>
      </w:r>
      <w:r>
        <w:rPr>
          <w:b/>
          <w:bCs/>
          <w:spacing w:val="-4"/>
        </w:rPr>
        <w:t>款）:</w:t>
      </w:r>
      <w:r>
        <w:rPr>
          <w:spacing w:val="-4"/>
        </w:rPr>
        <w:t>反映单位按规定保</w:t>
      </w:r>
      <w:r>
        <w:t xml:space="preserve"> </w:t>
      </w:r>
      <w:r>
        <w:rPr>
          <w:spacing w:val="2"/>
        </w:rPr>
        <w:t>留的公务用车燃料费、新能源汽车充电费、维修费，过桥过路费、保险费、安</w:t>
      </w:r>
      <w:r>
        <w:rPr>
          <w:spacing w:val="16"/>
        </w:rPr>
        <w:t xml:space="preserve"> </w:t>
      </w:r>
      <w:r>
        <w:rPr>
          <w:spacing w:val="-3"/>
        </w:rPr>
        <w:t>全奖励费用等支出。</w:t>
      </w:r>
    </w:p>
    <w:p w14:paraId="706F2ED2">
      <w:pPr>
        <w:pStyle w:val="2"/>
        <w:spacing w:before="56" w:line="425" w:lineRule="auto"/>
        <w:ind w:firstLine="558"/>
        <w:jc w:val="both"/>
      </w:pPr>
      <w:r>
        <w:rPr>
          <w:b/>
          <w:bCs/>
          <w:spacing w:val="-3"/>
        </w:rPr>
        <w:t>70、商品和服务支出（类）其他交通费用（款）:</w:t>
      </w:r>
      <w:r>
        <w:rPr>
          <w:spacing w:val="-3"/>
        </w:rPr>
        <w:t>反映单位除</w:t>
      </w:r>
      <w:r>
        <w:rPr>
          <w:spacing w:val="-4"/>
        </w:rPr>
        <w:t>公务用车运行</w:t>
      </w:r>
      <w:r>
        <w:t xml:space="preserve">  </w:t>
      </w:r>
      <w:r>
        <w:rPr>
          <w:spacing w:val="-3"/>
        </w:rPr>
        <w:t>维护费以外的其他交通费用。如公务交通补贴、租车费用、出租车费用、飞机、</w:t>
      </w:r>
      <w:r>
        <w:rPr>
          <w:spacing w:val="17"/>
        </w:rPr>
        <w:t xml:space="preserve"> </w:t>
      </w:r>
      <w:r>
        <w:rPr>
          <w:spacing w:val="-2"/>
        </w:rPr>
        <w:t>船舶等的燃料费、维修费、保险费等。</w:t>
      </w:r>
    </w:p>
    <w:p w14:paraId="102CF1AA">
      <w:pPr>
        <w:pStyle w:val="2"/>
        <w:spacing w:before="47" w:line="425" w:lineRule="auto"/>
        <w:ind w:right="93" w:firstLine="558"/>
        <w:jc w:val="both"/>
        <w:rPr>
          <w:b/>
          <w:bCs/>
          <w:spacing w:val="-3"/>
        </w:rPr>
      </w:pPr>
      <w:r>
        <w:rPr>
          <w:b/>
          <w:bCs/>
          <w:spacing w:val="-3"/>
        </w:rPr>
        <w:t>71、商品和服务支出（类）其他商品和服</w:t>
      </w:r>
      <w:r>
        <w:rPr>
          <w:b/>
          <w:bCs/>
          <w:spacing w:val="-4"/>
        </w:rPr>
        <w:t>务支出（款）:</w:t>
      </w:r>
      <w:r>
        <w:rPr>
          <w:spacing w:val="-4"/>
        </w:rPr>
        <w:t>反映上述科目未包</w:t>
      </w:r>
      <w:r>
        <w:t xml:space="preserve"> </w:t>
      </w:r>
      <w:r>
        <w:rPr>
          <w:spacing w:val="3"/>
        </w:rPr>
        <w:t>括的公用支出。如诉讼费、国内组织的会员费、</w:t>
      </w:r>
      <w:r>
        <w:rPr>
          <w:spacing w:val="2"/>
        </w:rPr>
        <w:t>来访费、广告宣传费、离休人</w:t>
      </w:r>
      <w:r>
        <w:t xml:space="preserve"> </w:t>
      </w:r>
      <w:r>
        <w:rPr>
          <w:spacing w:val="-3"/>
        </w:rPr>
        <w:t>员特需费、残疾人就业保障金等</w:t>
      </w:r>
      <w:r>
        <w:rPr>
          <w:b/>
          <w:bCs/>
          <w:spacing w:val="-3"/>
        </w:rPr>
        <w:t>。</w:t>
      </w:r>
    </w:p>
    <w:p w14:paraId="451D5C04">
      <w:pPr>
        <w:pStyle w:val="2"/>
        <w:spacing w:before="47" w:line="425" w:lineRule="auto"/>
        <w:ind w:left="559" w:leftChars="266" w:right="93" w:firstLine="0" w:firstLineChars="0"/>
        <w:jc w:val="both"/>
        <w:rPr>
          <w:spacing w:val="2"/>
        </w:rPr>
      </w:pPr>
      <w:r>
        <w:rPr>
          <w:b/>
          <w:bCs/>
          <w:spacing w:val="-3"/>
        </w:rPr>
        <w:t>72、对个人和家庭的补助（类）:</w:t>
      </w:r>
      <w:r>
        <w:rPr>
          <w:spacing w:val="2"/>
        </w:rPr>
        <w:t>反映政府用于对个人和家庭的补助</w:t>
      </w:r>
      <w:r>
        <w:rPr>
          <w:rFonts w:hint="eastAsia"/>
          <w:spacing w:val="2"/>
          <w:lang w:val="en-US" w:eastAsia="zh-CN"/>
        </w:rPr>
        <w:t xml:space="preserve">支出。 </w:t>
      </w:r>
      <w:r>
        <w:rPr>
          <w:b/>
          <w:bCs/>
          <w:spacing w:val="-3"/>
        </w:rPr>
        <w:t>73、对个人和家庭的补助（类）离休费（款）:</w:t>
      </w:r>
      <w:r>
        <w:rPr>
          <w:spacing w:val="2"/>
        </w:rPr>
        <w:t>反映机关事业单位和军队</w:t>
      </w:r>
    </w:p>
    <w:p w14:paraId="68BAE6E9">
      <w:pPr>
        <w:pStyle w:val="2"/>
        <w:spacing w:before="47" w:line="425" w:lineRule="auto"/>
        <w:ind w:right="93"/>
        <w:jc w:val="both"/>
        <w:rPr>
          <w:spacing w:val="2"/>
        </w:rPr>
      </w:pPr>
      <w:r>
        <w:rPr>
          <w:spacing w:val="2"/>
        </w:rPr>
        <w:t>移交政府安置的离休人员的离休费、护理费以及提租补贴、购房补贴、采暖补贴、 物业服务补贴等补贴。</w:t>
      </w:r>
    </w:p>
    <w:p w14:paraId="2211C53C">
      <w:pPr>
        <w:pStyle w:val="2"/>
        <w:spacing w:before="43" w:line="426" w:lineRule="auto"/>
        <w:ind w:left="5" w:right="91" w:firstLine="553"/>
        <w:jc w:val="both"/>
      </w:pPr>
      <w:r>
        <w:rPr>
          <w:b/>
          <w:bCs/>
          <w:spacing w:val="-3"/>
        </w:rPr>
        <w:t>74、对个人和家庭的补助（类）退休费（款）:</w:t>
      </w:r>
      <w:r>
        <w:rPr>
          <w:spacing w:val="-3"/>
        </w:rPr>
        <w:t>反映机关事业单位和军队移</w:t>
      </w:r>
      <w:r>
        <w:t xml:space="preserve"> </w:t>
      </w:r>
      <w:r>
        <w:rPr>
          <w:spacing w:val="2"/>
        </w:rPr>
        <w:t>交政府安置的退休人员的退休费以及提租补贴、购房补贴、采暖补贴、物业服</w:t>
      </w:r>
      <w:r>
        <w:rPr>
          <w:spacing w:val="16"/>
        </w:rPr>
        <w:t xml:space="preserve"> </w:t>
      </w:r>
      <w:r>
        <w:rPr>
          <w:spacing w:val="-7"/>
        </w:rPr>
        <w:t>务补贴等补贴。</w:t>
      </w:r>
    </w:p>
    <w:p w14:paraId="7FF5B818">
      <w:pPr>
        <w:pStyle w:val="2"/>
        <w:spacing w:before="40" w:line="430" w:lineRule="auto"/>
        <w:ind w:left="3" w:right="93" w:firstLine="555"/>
      </w:pPr>
      <w:r>
        <w:rPr>
          <w:b/>
          <w:bCs/>
          <w:spacing w:val="-5"/>
        </w:rPr>
        <w:t>75、对个人和家庭的补助（类）</w:t>
      </w:r>
      <w:r>
        <w:rPr>
          <w:spacing w:val="-69"/>
        </w:rPr>
        <w:t xml:space="preserve"> </w:t>
      </w:r>
      <w:r>
        <w:rPr>
          <w:b/>
          <w:bCs/>
          <w:spacing w:val="-5"/>
        </w:rPr>
        <w:t>生活补助（款）:</w:t>
      </w:r>
      <w:r>
        <w:rPr>
          <w:spacing w:val="-5"/>
        </w:rPr>
        <w:t>反映</w:t>
      </w:r>
      <w:r>
        <w:rPr>
          <w:spacing w:val="-6"/>
        </w:rPr>
        <w:t>按规定开支的优抚对</w:t>
      </w:r>
      <w:r>
        <w:t xml:space="preserve"> </w:t>
      </w:r>
      <w:r>
        <w:rPr>
          <w:spacing w:val="2"/>
        </w:rPr>
        <w:t>象定期定量生活补助费，退役军人生活补助费，机关事业单位职工和遗属生活</w:t>
      </w:r>
      <w:r>
        <w:rPr>
          <w:spacing w:val="18"/>
        </w:rPr>
        <w:t xml:space="preserve"> </w:t>
      </w:r>
      <w:r>
        <w:rPr>
          <w:spacing w:val="1"/>
        </w:rPr>
        <w:t>补助，长期赡养人员补助费，</w:t>
      </w:r>
      <w:r>
        <w:rPr>
          <w:spacing w:val="-80"/>
        </w:rPr>
        <w:t xml:space="preserve"> </w:t>
      </w:r>
      <w:r>
        <w:rPr>
          <w:spacing w:val="1"/>
        </w:rPr>
        <w:t>由于国家实行退耕还林禁牧舍饲</w:t>
      </w:r>
      <w:r>
        <w:t xml:space="preserve">政策补偿给农牧 </w:t>
      </w:r>
      <w:r>
        <w:rPr>
          <w:spacing w:val="2"/>
        </w:rPr>
        <w:t>民的现金、粮食支出，对农村党员、复员军人以及村干部的补助支出，罪犯、</w:t>
      </w:r>
      <w:r>
        <w:rPr>
          <w:spacing w:val="15"/>
        </w:rPr>
        <w:t xml:space="preserve"> </w:t>
      </w:r>
      <w:r>
        <w:rPr>
          <w:spacing w:val="-3"/>
        </w:rPr>
        <w:t>戒毒人员的伙食费、被服费、医疗卫生费等。</w:t>
      </w:r>
    </w:p>
    <w:p w14:paraId="07377A1B">
      <w:pPr>
        <w:pStyle w:val="2"/>
        <w:spacing w:before="45" w:line="425" w:lineRule="auto"/>
        <w:ind w:left="17" w:right="91" w:firstLine="541"/>
        <w:rPr>
          <w:spacing w:val="2"/>
        </w:rPr>
      </w:pPr>
      <w:r>
        <w:rPr>
          <w:b/>
          <w:bCs/>
          <w:spacing w:val="-3"/>
        </w:rPr>
        <w:t>76、对个人和家庭的补助（类）医疗费补助（款）:</w:t>
      </w:r>
      <w:r>
        <w:rPr>
          <w:spacing w:val="-3"/>
        </w:rPr>
        <w:t>反映机</w:t>
      </w:r>
      <w:r>
        <w:rPr>
          <w:spacing w:val="-4"/>
        </w:rPr>
        <w:t>关事业单位和军</w:t>
      </w:r>
      <w:r>
        <w:t xml:space="preserve"> </w:t>
      </w:r>
      <w:r>
        <w:rPr>
          <w:spacing w:val="2"/>
        </w:rPr>
        <w:t>队移交政府安置的离退休人员的医疗费，学生医疗费，优抚对象医疗补助，按</w:t>
      </w:r>
      <w:r>
        <w:rPr>
          <w:spacing w:val="3"/>
        </w:rPr>
        <w:t xml:space="preserve"> </w:t>
      </w:r>
      <w:r>
        <w:rPr>
          <w:spacing w:val="2"/>
        </w:rPr>
        <w:t>国家规定资助居民参加城乡居民医疗保险的支出，对城乡贫困家庭的医疗救助支出。</w:t>
      </w:r>
    </w:p>
    <w:p w14:paraId="4E1B22BE">
      <w:pPr>
        <w:pStyle w:val="2"/>
        <w:spacing w:before="45" w:line="425" w:lineRule="auto"/>
        <w:ind w:left="17" w:right="91" w:firstLine="541"/>
      </w:pPr>
      <w:r>
        <w:rPr>
          <w:b/>
          <w:bCs/>
          <w:spacing w:val="-2"/>
        </w:rPr>
        <w:t>77、资本性支出（类）:</w:t>
      </w:r>
      <w:r>
        <w:rPr>
          <w:spacing w:val="-2"/>
        </w:rPr>
        <w:t>反映各单位安排的资本性支出。切块</w:t>
      </w:r>
      <w:r>
        <w:rPr>
          <w:spacing w:val="-3"/>
        </w:rPr>
        <w:t>由发展改革部</w:t>
      </w:r>
      <w:r>
        <w:t xml:space="preserve"> </w:t>
      </w:r>
      <w:r>
        <w:rPr>
          <w:spacing w:val="-4"/>
        </w:rPr>
        <w:t>门安排的基本建设支出不在此科目反映。</w:t>
      </w:r>
    </w:p>
    <w:p w14:paraId="00EB374A">
      <w:pPr>
        <w:pStyle w:val="2"/>
        <w:spacing w:before="46" w:line="421" w:lineRule="auto"/>
        <w:ind w:firstLine="560"/>
      </w:pPr>
      <w:r>
        <w:rPr>
          <w:b/>
          <w:bCs/>
          <w:spacing w:val="-3"/>
        </w:rPr>
        <w:t>78、资本性支出（类）办公设备购置（款）:</w:t>
      </w:r>
      <w:r>
        <w:rPr>
          <w:spacing w:val="-3"/>
        </w:rPr>
        <w:t>反映用于购置并按财务会计制</w:t>
      </w:r>
      <w:r>
        <w:rPr>
          <w:spacing w:val="2"/>
        </w:rPr>
        <w:t xml:space="preserve"> </w:t>
      </w:r>
      <w:r>
        <w:rPr>
          <w:spacing w:val="-2"/>
        </w:rPr>
        <w:t>度规定纳入固定资产核算范围的办公家具和办公设备的支出。</w:t>
      </w:r>
    </w:p>
    <w:p w14:paraId="2741B8A5">
      <w:pPr>
        <w:pStyle w:val="2"/>
        <w:spacing w:before="45" w:line="428" w:lineRule="auto"/>
        <w:ind w:firstLine="560"/>
        <w:rPr>
          <w:spacing w:val="-4"/>
        </w:rPr>
      </w:pPr>
      <w:r>
        <w:rPr>
          <w:b/>
          <w:bCs/>
          <w:spacing w:val="-3"/>
        </w:rPr>
        <w:t>79、资本性支出（类）信息网络及软件购置更</w:t>
      </w:r>
      <w:r>
        <w:rPr>
          <w:b/>
          <w:bCs/>
          <w:spacing w:val="-4"/>
        </w:rPr>
        <w:t>新（款）:</w:t>
      </w:r>
      <w:r>
        <w:rPr>
          <w:spacing w:val="-4"/>
        </w:rPr>
        <w:t>反映用于信息网络</w:t>
      </w:r>
      <w:r>
        <w:t xml:space="preserve"> </w:t>
      </w:r>
      <w:r>
        <w:rPr>
          <w:spacing w:val="3"/>
        </w:rPr>
        <w:t>和软件方面的支出。如服务器购置、软件购置、开</w:t>
      </w:r>
      <w:r>
        <w:rPr>
          <w:spacing w:val="2"/>
        </w:rPr>
        <w:t>发、应用支出等，如果购置</w:t>
      </w:r>
      <w:r>
        <w:t xml:space="preserve"> </w:t>
      </w:r>
      <w:r>
        <w:rPr>
          <w:spacing w:val="3"/>
        </w:rPr>
        <w:t>的相关硬件、软件等不符合财务会计制度规定的固</w:t>
      </w:r>
      <w:r>
        <w:rPr>
          <w:spacing w:val="2"/>
        </w:rPr>
        <w:t>定资产确认标准的，不在此</w:t>
      </w:r>
      <w:r>
        <w:t xml:space="preserve"> </w:t>
      </w:r>
      <w:r>
        <w:rPr>
          <w:spacing w:val="-4"/>
        </w:rPr>
        <w:t>科目反映。</w:t>
      </w:r>
    </w:p>
    <w:p w14:paraId="2823CF71">
      <w:pPr>
        <w:pStyle w:val="2"/>
        <w:spacing w:before="45" w:line="428" w:lineRule="auto"/>
        <w:rPr>
          <w:spacing w:val="-3"/>
        </w:rPr>
      </w:pPr>
      <w:r>
        <w:rPr>
          <w:spacing w:val="-3"/>
        </w:rPr>
        <w:t>附件：</w:t>
      </w:r>
      <w:r>
        <w:rPr>
          <w:rFonts w:hint="eastAsia"/>
          <w:spacing w:val="-3"/>
          <w:lang w:val="en-US" w:eastAsia="zh-CN"/>
        </w:rPr>
        <w:t xml:space="preserve"> </w:t>
      </w:r>
      <w:r>
        <w:rPr>
          <w:spacing w:val="-3"/>
        </w:rPr>
        <w:t>1.</w:t>
      </w:r>
      <w:r>
        <w:rPr>
          <w:rFonts w:hint="eastAsia"/>
          <w:spacing w:val="-3"/>
          <w:lang w:val="en-US" w:eastAsia="zh-CN"/>
        </w:rPr>
        <w:t>环县地志办</w:t>
      </w:r>
      <w:r>
        <w:rPr>
          <w:spacing w:val="-3"/>
        </w:rPr>
        <w:t>202</w:t>
      </w:r>
      <w:r>
        <w:rPr>
          <w:rFonts w:hint="eastAsia"/>
          <w:spacing w:val="-3"/>
          <w:lang w:val="en-US" w:eastAsia="zh-CN"/>
        </w:rPr>
        <w:t>6</w:t>
      </w:r>
      <w:r>
        <w:rPr>
          <w:spacing w:val="-48"/>
        </w:rPr>
        <w:t xml:space="preserve"> </w:t>
      </w:r>
      <w:r>
        <w:rPr>
          <w:spacing w:val="-3"/>
        </w:rPr>
        <w:t>年部门预算公开表</w:t>
      </w:r>
    </w:p>
    <w:p w14:paraId="258CEBEB">
      <w:pPr>
        <w:pStyle w:val="2"/>
        <w:spacing w:before="45" w:line="428" w:lineRule="auto"/>
        <w:ind w:firstLine="768" w:firstLineChars="300"/>
      </w:pPr>
      <w:r>
        <w:rPr>
          <w:rFonts w:hint="eastAsia"/>
          <w:spacing w:val="-12"/>
          <w:lang w:val="en-US" w:eastAsia="zh-CN"/>
        </w:rPr>
        <w:t xml:space="preserve">  </w:t>
      </w:r>
      <w:r>
        <w:rPr>
          <w:spacing w:val="-12"/>
        </w:rPr>
        <w:t>2.</w:t>
      </w:r>
      <w:r>
        <w:rPr>
          <w:rFonts w:hint="eastAsia"/>
          <w:spacing w:val="-12"/>
          <w:lang w:val="en-US" w:eastAsia="zh-CN"/>
        </w:rPr>
        <w:t>环县地志办</w:t>
      </w:r>
      <w:r>
        <w:rPr>
          <w:spacing w:val="-42"/>
        </w:rPr>
        <w:t xml:space="preserve"> </w:t>
      </w:r>
      <w:r>
        <w:rPr>
          <w:spacing w:val="-12"/>
        </w:rPr>
        <w:t>202</w:t>
      </w:r>
      <w:r>
        <w:rPr>
          <w:rFonts w:hint="eastAsia"/>
          <w:spacing w:val="-12"/>
          <w:lang w:val="en-US" w:eastAsia="zh-CN"/>
        </w:rPr>
        <w:t>6</w:t>
      </w:r>
      <w:r>
        <w:rPr>
          <w:spacing w:val="-49"/>
        </w:rPr>
        <w:t xml:space="preserve"> </w:t>
      </w:r>
      <w:r>
        <w:rPr>
          <w:spacing w:val="-12"/>
        </w:rPr>
        <w:t>年部门整体支出绩效目标表</w:t>
      </w:r>
    </w:p>
    <w:p w14:paraId="25774CD9">
      <w:pPr>
        <w:spacing w:line="252" w:lineRule="auto"/>
        <w:rPr>
          <w:rFonts w:ascii="Arial"/>
          <w:sz w:val="21"/>
        </w:rPr>
      </w:pPr>
    </w:p>
    <w:p w14:paraId="4F681402">
      <w:pPr>
        <w:spacing w:line="253" w:lineRule="auto"/>
        <w:rPr>
          <w:rFonts w:ascii="Arial"/>
          <w:sz w:val="21"/>
        </w:rPr>
      </w:pPr>
    </w:p>
    <w:p w14:paraId="6DF49B66">
      <w:pPr>
        <w:spacing w:line="253" w:lineRule="auto"/>
        <w:rPr>
          <w:rFonts w:ascii="Arial"/>
          <w:sz w:val="21"/>
        </w:rPr>
      </w:pPr>
    </w:p>
    <w:p w14:paraId="2AFE7558">
      <w:pPr>
        <w:spacing w:line="253" w:lineRule="auto"/>
        <w:rPr>
          <w:rFonts w:ascii="Arial"/>
          <w:sz w:val="21"/>
        </w:rPr>
      </w:pPr>
    </w:p>
    <w:p w14:paraId="796DF542">
      <w:pPr>
        <w:spacing w:line="253" w:lineRule="auto"/>
        <w:rPr>
          <w:rFonts w:ascii="Arial"/>
          <w:sz w:val="21"/>
        </w:rPr>
      </w:pPr>
    </w:p>
    <w:p w14:paraId="5DE3B50B">
      <w:pPr>
        <w:pStyle w:val="2"/>
        <w:spacing w:before="91" w:line="421" w:lineRule="auto"/>
        <w:ind w:left="6180" w:right="1143" w:firstLine="403"/>
      </w:pPr>
      <w:r>
        <w:rPr>
          <w:rFonts w:hint="eastAsia"/>
          <w:spacing w:val="-4"/>
          <w:lang w:val="en-US" w:eastAsia="zh-CN"/>
        </w:rPr>
        <w:t>环县地志办</w:t>
      </w:r>
      <w:r>
        <w:rPr>
          <w:spacing w:val="2"/>
        </w:rPr>
        <w:t xml:space="preserve">  </w:t>
      </w:r>
      <w:r>
        <w:rPr>
          <w:spacing w:val="-17"/>
        </w:rPr>
        <w:t>2025</w:t>
      </w:r>
      <w:r>
        <w:rPr>
          <w:spacing w:val="-45"/>
        </w:rPr>
        <w:t xml:space="preserve"> </w:t>
      </w:r>
      <w:r>
        <w:rPr>
          <w:spacing w:val="-17"/>
        </w:rPr>
        <w:t>年</w:t>
      </w:r>
      <w:r>
        <w:rPr>
          <w:spacing w:val="-58"/>
        </w:rPr>
        <w:t xml:space="preserve"> </w:t>
      </w:r>
      <w:r>
        <w:rPr>
          <w:spacing w:val="-17"/>
        </w:rPr>
        <w:t>02</w:t>
      </w:r>
      <w:r>
        <w:rPr>
          <w:spacing w:val="-40"/>
        </w:rPr>
        <w:t xml:space="preserve"> </w:t>
      </w:r>
      <w:r>
        <w:rPr>
          <w:spacing w:val="-17"/>
        </w:rPr>
        <w:t>月</w:t>
      </w:r>
      <w:r>
        <w:rPr>
          <w:spacing w:val="-40"/>
        </w:rPr>
        <w:t xml:space="preserve"> </w:t>
      </w:r>
      <w:r>
        <w:rPr>
          <w:rFonts w:hint="eastAsia"/>
          <w:spacing w:val="-17"/>
          <w:lang w:val="en-US" w:eastAsia="zh-CN"/>
        </w:rPr>
        <w:t>10</w:t>
      </w:r>
      <w:r>
        <w:rPr>
          <w:spacing w:val="7"/>
        </w:rPr>
        <w:t xml:space="preserve"> </w:t>
      </w:r>
      <w:r>
        <w:rPr>
          <w:spacing w:val="-17"/>
        </w:rPr>
        <w:t>日</w:t>
      </w:r>
    </w:p>
    <w:p w14:paraId="0C255E48">
      <w:pPr>
        <w:spacing w:line="218" w:lineRule="auto"/>
        <w:sectPr>
          <w:footerReference r:id="rId9" w:type="default"/>
          <w:pgSz w:w="11907" w:h="16839"/>
          <w:pgMar w:top="1363" w:right="1131" w:bottom="1375" w:left="1151" w:header="0" w:footer="1212" w:gutter="0"/>
          <w:pgNumType w:fmt="decimal"/>
          <w:cols w:space="720" w:num="1"/>
        </w:sectPr>
      </w:pPr>
    </w:p>
    <w:p w14:paraId="41CFE618">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仿宋" w:hAnsi="仿宋" w:eastAsia="仿宋" w:cs="仿宋"/>
          <w:sz w:val="21"/>
        </w:rPr>
      </w:pPr>
    </w:p>
    <w:sectPr>
      <w:footerReference r:id="rId10" w:type="default"/>
      <w:pgSz w:w="11907" w:h="16839"/>
      <w:pgMar w:top="1431" w:right="691" w:bottom="1375" w:left="1692" w:header="0" w:footer="1212"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7B82F">
    <w:pPr>
      <w:spacing w:line="166" w:lineRule="auto"/>
      <w:ind w:left="4208"/>
      <w:rPr>
        <w:rFonts w:ascii="Calibri" w:hAnsi="Calibri" w:eastAsia="Calibri" w:cs="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CA1C4CB">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i6pUg3AIAACQGAAAOAAAAAAAAAAEAIAAAAB8BAABkcnMvZTJvRG9jLnhtbFBLBQYA&#10;AAAABgAGAFkBAABtBgAAAAA=&#10;">
              <v:fill on="f" focussize="0,0"/>
              <v:stroke on="f" weight="0.5pt"/>
              <v:imagedata o:title=""/>
              <o:lock v:ext="edit" aspectratio="f"/>
              <v:textbox inset="0mm,0mm,0mm,0mm" style="mso-fit-shape-to-text:t;">
                <w:txbxContent>
                  <w:p w14:paraId="7CA1C4CB">
                    <w:pPr>
                      <w:pStyle w:val="3"/>
                    </w:pPr>
                  </w:p>
                </w:txbxContent>
              </v:textbox>
            </v:shape>
          </w:pict>
        </mc:Fallback>
      </mc:AlternateContent>
    </w:r>
    <w:r>
      <w:rPr>
        <w:rFonts w:ascii="Calibri" w:hAnsi="Calibri" w:eastAsia="Calibri" w:cs="Calibri"/>
        <w:sz w:val="18"/>
        <w:szCs w:val="18"/>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D114C">
    <w:pPr>
      <w:spacing w:line="167" w:lineRule="auto"/>
      <w:ind w:left="4203"/>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D9062F1">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OH7cf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E4ftx90CAAAmBgAADgAAAAAAAAABACAAAAAfAQAAZHJzL2Uyb0RvYy54bWxQSwUG&#10;AAAAAAYABgBZAQAAbgYAAAAA&#10;">
              <v:fill on="f" focussize="0,0"/>
              <v:stroke on="f" weight="0.5pt"/>
              <v:imagedata o:title=""/>
              <o:lock v:ext="edit" aspectratio="f"/>
              <v:textbox inset="0mm,0mm,0mm,0mm" style="mso-fit-shape-to-text:t;">
                <w:txbxContent>
                  <w:p w14:paraId="0D9062F1">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30216">
    <w:pPr>
      <w:spacing w:line="167" w:lineRule="auto"/>
      <w:ind w:left="4202"/>
      <w:rPr>
        <w:rFonts w:ascii="Calibri" w:hAnsi="Calibri" w:eastAsia="Calibri" w:cs="Calibri"/>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B29A2C9">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RbjTbd0CAAAmBgAADgAAAAAAAAABACAAAAAfAQAAZHJzL2Uyb0RvYy54bWxQSwUG&#10;AAAAAAYABgBZAQAAbgYAAAAA&#10;">
              <v:fill on="f" focussize="0,0"/>
              <v:stroke on="f" weight="0.5pt"/>
              <v:imagedata o:title=""/>
              <o:lock v:ext="edit" aspectratio="f"/>
              <v:textbox inset="0mm,0mm,0mm,0mm" style="mso-fit-shape-to-text:t;">
                <w:txbxContent>
                  <w:p w14:paraId="1B29A2C9">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A92EB">
    <w:pPr>
      <w:spacing w:line="167" w:lineRule="auto"/>
      <w:ind w:left="4720" w:firstLine="4961" w:firstLineChars="0"/>
      <w:rPr>
        <w:rFonts w:hint="default" w:ascii="Calibri" w:hAnsi="Calibri" w:eastAsia="宋体" w:cs="Calibri"/>
        <w:sz w:val="18"/>
        <w:szCs w:val="18"/>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716CE06">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7/4Ej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v/gSN0CAAAmBgAADgAAAAAAAAABACAAAAAfAQAAZHJzL2Uyb0RvYy54bWxQSwUG&#10;AAAAAAYABgBZAQAAbgYAAAAA&#10;">
              <v:fill on="f" focussize="0,0"/>
              <v:stroke on="f" weight="0.5pt"/>
              <v:imagedata o:title=""/>
              <o:lock v:ext="edit" aspectratio="f"/>
              <v:textbox inset="0mm,0mm,0mm,0mm" style="mso-fit-shape-to-text:t;">
                <w:txbxContent>
                  <w:p w14:paraId="7716CE06">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E9587">
    <w:pPr>
      <w:tabs>
        <w:tab w:val="left" w:pos="4933"/>
      </w:tabs>
      <w:spacing w:line="167" w:lineRule="auto"/>
      <w:ind w:left="4180"/>
      <w:rPr>
        <w:rFonts w:ascii="Calibri" w:hAnsi="Calibri" w:eastAsia="Calibri" w:cs="Calibri"/>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6528B9D">
                          <w:pPr>
                            <w:pStyle w:val="3"/>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jA3uL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KjA3uLeAgAAJgYAAA4AAAAAAAAAAQAgAAAAHwEAAGRycy9lMm9Eb2MueG1sUEsF&#10;BgAAAAAGAAYAWQEAAG8GAAAAAA==&#10;">
              <v:fill on="f" focussize="0,0"/>
              <v:stroke on="f" weight="0.5pt"/>
              <v:imagedata o:title=""/>
              <o:lock v:ext="edit" aspectratio="f"/>
              <v:textbox inset="0mm,0mm,0mm,0mm" style="mso-fit-shape-to-text:t;">
                <w:txbxContent>
                  <w:p w14:paraId="56528B9D">
                    <w:pPr>
                      <w:pStyle w:val="3"/>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DBB10">
    <w:pPr>
      <w:pStyle w:val="4"/>
    </w:pPr>
    <w:bookmarkStart w:id="0" w:name="_GoBack"/>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84FBCC"/>
    <w:multiLevelType w:val="singleLevel"/>
    <w:tmpl w:val="F884FBC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221"/>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4490589"/>
    <w:rsid w:val="0DC874AD"/>
    <w:rsid w:val="105C48D7"/>
    <w:rsid w:val="18607EEB"/>
    <w:rsid w:val="1E2E78B2"/>
    <w:rsid w:val="26D144D4"/>
    <w:rsid w:val="32795129"/>
    <w:rsid w:val="333948D8"/>
    <w:rsid w:val="33FD6D24"/>
    <w:rsid w:val="39AA2C29"/>
    <w:rsid w:val="55D63DB0"/>
    <w:rsid w:val="72AA42B2"/>
    <w:rsid w:val="77955421"/>
    <w:rsid w:val="7C10189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8"/>
      <w:szCs w:val="28"/>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3.xml"/><Relationship Id="rId13" Type="http://schemas.openxmlformats.org/officeDocument/2006/relationships/chart" Target="charts/chart2.xml"/><Relationship Id="rId12" Type="http://schemas.openxmlformats.org/officeDocument/2006/relationships/chart" Target="charts/chart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G:\&#20915;&#31639;\2018&#24180;&#20915;&#31639;\&#26609;&#29366;&#39292;&#29366;&#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G:\&#20915;&#31639;\2018&#24180;&#20915;&#31639;\&#26609;&#29366;&#39292;&#29366;&#2227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H:\&#20915;&#31639;\2018&#24180;&#20915;&#31639;\2018&#24180;&#26609;&#29366;&#39292;&#29366;&#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[柱状饼状图.xlsx]Sheet1!$D$50</c:f>
              <c:strCache>
                <c:ptCount val="1"/>
                <c:pt idx="0">
                  <c:v>图1：收入预算构成</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delete val="1"/>
          </c:dLbls>
          <c:cat>
            <c:strRef>
              <c:f>[柱状饼状图.xlsx]Sheet1!$E$49:$G$49</c:f>
              <c:strCache>
                <c:ptCount val="3"/>
                <c:pt idx="0">
                  <c:v>一般公共预算收入105.38万元</c:v>
                </c:pt>
                <c:pt idx="1">
                  <c:v>政府性基金预算收入0万元</c:v>
                </c:pt>
                <c:pt idx="2">
                  <c:v>其他收入 0万元</c:v>
                </c:pt>
              </c:strCache>
            </c:strRef>
          </c:cat>
          <c:val>
            <c:numRef>
              <c:f>[柱状饼状图.xlsx]Sheet1!$E$50:$G$50</c:f>
              <c:numCache>
                <c:formatCode>General</c:formatCode>
                <c:ptCount val="3"/>
                <c:pt idx="0">
                  <c:v>105.38</c:v>
                </c:pt>
                <c:pt idx="1">
                  <c:v>0</c:v>
                </c:pt>
                <c:pt idx="2">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8702ba1-e641-4b50-80b3-789da715885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[柱状饼状图.xlsx]Sheet1!$D$46</c:f>
              <c:strCache>
                <c:ptCount val="1"/>
                <c:pt idx="0">
                  <c:v>图2：支出预算构成</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delete val="1"/>
          </c:dLbls>
          <c:cat>
            <c:strRef>
              <c:f>[柱状饼状图.xlsx]Sheet1!$E$45:$I$45</c:f>
              <c:strCache>
                <c:ptCount val="5"/>
                <c:pt idx="0">
                  <c:v>一般公共服务支出80.41万元</c:v>
                </c:pt>
                <c:pt idx="1">
                  <c:v>社会保障和就业支出13.83.万元</c:v>
                </c:pt>
                <c:pt idx="2">
                  <c:v>卫生健康支出4.53万元</c:v>
                </c:pt>
                <c:pt idx="3">
                  <c:v>住房保障支出6.61万元</c:v>
                </c:pt>
              </c:strCache>
            </c:strRef>
          </c:cat>
          <c:val>
            <c:numRef>
              <c:f>[柱状饼状图.xlsx]Sheet1!$E$46:$I$46</c:f>
              <c:numCache>
                <c:formatCode>General</c:formatCode>
                <c:ptCount val="5"/>
                <c:pt idx="0">
                  <c:v>80.41</c:v>
                </c:pt>
                <c:pt idx="1">
                  <c:v>13.83</c:v>
                </c:pt>
                <c:pt idx="2">
                  <c:v>4.53</c:v>
                </c:pt>
                <c:pt idx="3">
                  <c:v>6.61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egendEntry>
        <c:idx val="4"/>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584195f-a9e8-4e14-a5b2-05bd0e7d8f4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[2018年柱状饼状图.xlsx]Sheet1!$E$31</c:f>
              <c:strCache>
                <c:ptCount val="1"/>
                <c:pt idx="0">
                  <c:v>图3：“三公”经费、培训费、会议费等财政拨款情况</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elete val="1"/>
          </c:dLbls>
          <c:cat>
            <c:strRef>
              <c:f>[2018年柱状饼状图.xlsx]Sheet1!$F$30:$H$30</c:f>
              <c:strCache>
                <c:ptCount val="3"/>
                <c:pt idx="0">
                  <c:v>会议费0万元</c:v>
                </c:pt>
                <c:pt idx="1">
                  <c:v>培训费0万元</c:v>
                </c:pt>
                <c:pt idx="2">
                  <c:v>“三公”经费公务用车运行费4万元</c:v>
                </c:pt>
              </c:strCache>
            </c:strRef>
          </c:cat>
          <c:val>
            <c:numRef>
              <c:f>[2018年柱状饼状图.xlsx]Sheet1!$F$31:$H$31</c:f>
              <c:numCache>
                <c:formatCode>General</c:formatCode>
                <c:ptCount val="3"/>
                <c:pt idx="0">
                  <c:v>0</c:v>
                </c:pt>
                <c:pt idx="1">
                  <c:v>0</c:v>
                </c:pt>
                <c:pt idx="2">
                  <c:v>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d383b1e-b124-444f-bf87-551afa307a9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19</Pages>
  <Words>7661</Words>
  <Characters>7946</Characters>
  <TotalTime>120</TotalTime>
  <ScaleCrop>false</ScaleCrop>
  <LinksUpToDate>false</LinksUpToDate>
  <CharactersWithSpaces>8170</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2025-02-24T17:18:00Z</dcterms:created>
  <dc:creator>ys</dc:creator>
  <cp:lastModifiedBy>安</cp:lastModifiedBy>
  <dcterms:modified xsi:type="dcterms:W3CDTF">2026-04-03T07:18:37Z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2025-02-26T09:06:47Z</vt:filetime>
  </property>
  <property fmtid="{D5CDD505-2E9C-101B-9397-08002B2CF9AE}" pid="4" name="KSOTemplateDocerSaveRecord">
    <vt:lpwstr>eyJoZGlkIjoiZjgxZjFiMWZhMmFhYjFjZDQ3NjI2MGZjZmYxOTE5ZjUiLCJ1c2VySWQiOiI0NjE5MjEwNTYifQ==</vt:lpwstr>
  </property>
  <property fmtid="{D5CDD505-2E9C-101B-9397-08002B2CF9AE}" pid="5" name="KSOProductBuildVer">
    <vt:lpwstr>2052-12.1.0.25225</vt:lpwstr>
  </property>
  <property fmtid="{D5CDD505-2E9C-101B-9397-08002B2CF9AE}" pid="6" name="ICV">
    <vt:lpwstr>BB0F62FBB5AA44B6AB03584EEB25EA79_12</vt:lpwstr>
  </property>
</Properties>
</file>