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0BA2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D594B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33E58D7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74AE8B9F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环县妇女联合会</w:t>
      </w:r>
    </w:p>
    <w:p w14:paraId="36F2FBA9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 xml:space="preserve">预算公开情况说明 </w:t>
      </w:r>
    </w:p>
    <w:p w14:paraId="6901E09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3F7ED4B9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7C92D34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415C227E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第一部分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单位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基本概况</w:t>
      </w:r>
    </w:p>
    <w:p w14:paraId="42D9141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单位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职责</w:t>
      </w:r>
    </w:p>
    <w:p w14:paraId="2A023B4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5A4F5ED4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第二部分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单位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预算情况说明</w:t>
      </w:r>
    </w:p>
    <w:p w14:paraId="5399833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一、收支总体情况</w:t>
      </w:r>
    </w:p>
    <w:p w14:paraId="79C6BE1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二、一般公共预算情况</w:t>
      </w:r>
    </w:p>
    <w:p w14:paraId="2322D9E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三、一般公共预算财政拨款“三公”经费、培训费、会议费等情况</w:t>
      </w:r>
    </w:p>
    <w:p w14:paraId="12E5315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四、一般公共预算财政拨款机关运行经费情况</w:t>
      </w:r>
    </w:p>
    <w:p w14:paraId="479F98F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五、政府采购安排情况</w:t>
      </w:r>
    </w:p>
    <w:p w14:paraId="0793B8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六、国有资产占用情况</w:t>
      </w:r>
    </w:p>
    <w:p w14:paraId="7404F9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七、其他重要事项情况说明</w:t>
      </w:r>
    </w:p>
    <w:p w14:paraId="53A0F4F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八、预算绩效管理情况</w:t>
      </w:r>
    </w:p>
    <w:p w14:paraId="1324CDD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九、名词解释</w:t>
      </w:r>
    </w:p>
    <w:p w14:paraId="07321C27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第三部分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单位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预算公开表</w:t>
      </w:r>
    </w:p>
    <w:p w14:paraId="6EDD170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单位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收支总体情况表</w:t>
      </w:r>
    </w:p>
    <w:p w14:paraId="3470CFB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单位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收入总体情况表</w:t>
      </w:r>
    </w:p>
    <w:p w14:paraId="496480D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单位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支出总体情况表</w:t>
      </w:r>
    </w:p>
    <w:p w14:paraId="2975B03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3CBAB93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369E5E4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8A1FF5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69E36CA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17443C1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66B1C76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1AC911F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单位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管理转移支付表</w:t>
      </w:r>
    </w:p>
    <w:p w14:paraId="53D4C7E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51207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单位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整体支出绩效目标表和项目支出绩效目标表</w:t>
      </w:r>
    </w:p>
    <w:p w14:paraId="7679DDBD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5827C60A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6BDE6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6C9AA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预算公开如下：</w:t>
      </w:r>
    </w:p>
    <w:p w14:paraId="4D879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宋体"/>
          <w:kern w:val="0"/>
          <w:sz w:val="32"/>
          <w:szCs w:val="32"/>
        </w:rPr>
        <w:t>职责</w:t>
      </w:r>
    </w:p>
    <w:p w14:paraId="1C64E87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妇联是县委领导下的群众团体，是县委、县政府联系全县妇女群众的桥梁和纽带。其主要职责是：指导、协调全县各级妇联按照《中华全国妇女联合会章程》开展妇女儿童工作，贯彻落实党对妇女工作的方针、政策，大力推进男女平等基本国策，维护妇女儿童合法权力，紧密围绕全县经济社会发展大局和中心工作，团结带领妇女群众在新时代肩负新担当、展现新作为，开展组织宣传、培训引导、家庭教育等工作，承担县委、县政府和上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妇联交办的其他工作。</w:t>
      </w:r>
    </w:p>
    <w:p w14:paraId="5B9EC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4E70C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微软雅黑" w:eastAsia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环县妇女联合会为独立编制单位，属群团组织，一级预算单位。截止202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年度，妇联共有编制8名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，其中事业（参公）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名，事业编制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名。</w:t>
      </w:r>
    </w:p>
    <w:p w14:paraId="3B5D0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宋体"/>
          <w:kern w:val="0"/>
          <w:sz w:val="32"/>
          <w:szCs w:val="32"/>
        </w:rPr>
        <w:t>收支总体情况</w:t>
      </w:r>
    </w:p>
    <w:p w14:paraId="04AAC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收支包括机关预算在内的汇总情况。</w:t>
      </w:r>
    </w:p>
    <w:p w14:paraId="4F407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收支总预算</w:t>
      </w:r>
      <w:r>
        <w:rPr>
          <w:rFonts w:hint="eastAsia" w:ascii="仿宋_GB2312" w:hAnsi="微软雅黑" w:eastAsia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136.14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万元。按照综合预算的原则，所有收入和支出均纳入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预算管理。收入包括：一般公共预算拨款收入；支出包括：一般公共服务支出、社会保障和就业支出、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医疗卫生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支出、住房保障支出。</w:t>
      </w:r>
    </w:p>
    <w:p w14:paraId="64E43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48AE659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hAnsi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hAnsi="仿宋"/>
          <w:sz w:val="32"/>
          <w:szCs w:val="32"/>
          <w:lang w:val="en-US" w:eastAsia="zh-CN"/>
        </w:rPr>
        <w:t>136.14</w:t>
      </w:r>
      <w:r>
        <w:rPr>
          <w:rFonts w:hint="eastAsia" w:ascii="仿宋_GB2312" w:hAnsi="仿宋" w:eastAsia="仿宋_GB2312"/>
          <w:sz w:val="32"/>
          <w:szCs w:val="32"/>
        </w:rPr>
        <w:t>万元（详见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预算公开表1,2）。</w:t>
      </w:r>
      <w:r>
        <w:rPr>
          <w:rFonts w:hint="eastAsia" w:ascii="仿宋_GB2312" w:hAnsi="微软雅黑" w:eastAsia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</w:t>
      </w:r>
      <w:r>
        <w:rPr>
          <w:rFonts w:hint="eastAsia" w:hAnsi="微软雅黑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微软雅黑" w:eastAsia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年收入预算相比</w:t>
      </w:r>
      <w:r>
        <w:rPr>
          <w:rFonts w:hint="eastAsia" w:hAnsi="微软雅黑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减少8.28</w:t>
      </w:r>
      <w:r>
        <w:rPr>
          <w:rFonts w:hint="eastAsia" w:ascii="仿宋_GB2312" w:hAnsi="微软雅黑" w:eastAsia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hAnsi="微软雅黑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减少6.09</w:t>
      </w:r>
      <w:r>
        <w:rPr>
          <w:rFonts w:hint="eastAsia" w:ascii="仿宋_GB2312" w:hAnsi="微软雅黑" w:eastAsia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仿宋_GB2312" w:hAnsi="微软雅黑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主要原因是</w:t>
      </w:r>
      <w:r>
        <w:rPr>
          <w:rFonts w:hint="eastAsia" w:hAnsi="微软雅黑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涉及人员类相关资金及项目资金减少</w:t>
      </w:r>
      <w:r>
        <w:rPr>
          <w:rFonts w:hint="eastAsia" w:ascii="仿宋_GB2312" w:hAnsi="微软雅黑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。全部为</w:t>
      </w:r>
      <w:r>
        <w:rPr>
          <w:rFonts w:hint="eastAsia" w:ascii="仿宋_GB2312" w:hAnsi="仿宋" w:eastAsia="仿宋_GB2312"/>
          <w:sz w:val="32"/>
          <w:szCs w:val="32"/>
        </w:rPr>
        <w:t>一般公共预算收</w:t>
      </w:r>
      <w:r>
        <w:rPr>
          <w:rFonts w:hint="eastAsia" w:hAnsi="仿宋"/>
          <w:sz w:val="32"/>
          <w:szCs w:val="32"/>
          <w:lang w:val="en-US" w:eastAsia="zh-CN"/>
        </w:rPr>
        <w:t>136.14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  <w:r>
        <w:rPr>
          <w:rFonts w:hint="eastAsia" w:hAnsi="仿宋"/>
          <w:sz w:val="32"/>
          <w:szCs w:val="32"/>
          <w:lang w:val="en-US" w:eastAsia="zh-CN"/>
        </w:rPr>
        <w:t>无</w:t>
      </w:r>
      <w:r>
        <w:rPr>
          <w:w w:val="100"/>
          <w:sz w:val="32"/>
          <w:szCs w:val="32"/>
        </w:rPr>
        <w:t>政府性基金预算收入</w:t>
      </w:r>
      <w:r>
        <w:rPr>
          <w:spacing w:val="-70"/>
          <w:w w:val="100"/>
          <w:sz w:val="32"/>
          <w:szCs w:val="32"/>
        </w:rPr>
        <w:t xml:space="preserve"> </w:t>
      </w:r>
      <w:r>
        <w:rPr>
          <w:rFonts w:hint="eastAsia"/>
          <w:spacing w:val="-70"/>
          <w:w w:val="100"/>
          <w:sz w:val="32"/>
          <w:szCs w:val="32"/>
          <w:lang w:eastAsia="zh-CN"/>
        </w:rPr>
        <w:t>、</w:t>
      </w:r>
      <w:r>
        <w:rPr>
          <w:rFonts w:hint="eastAsia"/>
          <w:w w:val="100"/>
          <w:sz w:val="32"/>
          <w:szCs w:val="32"/>
          <w:lang w:val="en-US" w:eastAsia="zh-CN"/>
        </w:rPr>
        <w:t>上年结转及其</w:t>
      </w:r>
      <w:r>
        <w:rPr>
          <w:w w:val="100"/>
          <w:sz w:val="32"/>
          <w:szCs w:val="32"/>
        </w:rPr>
        <w:t>他收入。</w:t>
      </w:r>
    </w:p>
    <w:p w14:paraId="63C16AEE"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tbl>
      <w:tblPr>
        <w:tblStyle w:val="1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35CA4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0" w:hRule="atLeast"/>
        </w:trPr>
        <w:tc>
          <w:tcPr>
            <w:tcW w:w="9639" w:type="dxa"/>
            <w:shd w:val="clear" w:color="auto" w:fill="auto"/>
          </w:tcPr>
          <w:p w14:paraId="6C2E546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5761355" cy="4026535"/>
                  <wp:effectExtent l="4445" t="4445" r="6350" b="7620"/>
                  <wp:docPr id="3" name="图表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14:paraId="58D7D3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133C38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微软雅黑" w:eastAsia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136.14</w:t>
      </w:r>
      <w:r>
        <w:rPr>
          <w:rFonts w:hint="eastAsia" w:ascii="仿宋_GB2312" w:hAnsi="仿宋" w:eastAsia="仿宋_GB2312"/>
          <w:sz w:val="32"/>
          <w:szCs w:val="32"/>
        </w:rPr>
        <w:t>万元（详见单位预算公开表3）。</w:t>
      </w:r>
      <w:r>
        <w:rPr>
          <w:rStyle w:val="23"/>
          <w:rFonts w:hint="default" w:hAnsi="仿宋"/>
        </w:rPr>
        <w:t>其中：基本支出</w:t>
      </w:r>
      <w:r>
        <w:rPr>
          <w:rFonts w:hint="eastAsia" w:ascii="仿宋_GB2312" w:hAnsi="微软雅黑" w:eastAsia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112.14</w:t>
      </w:r>
      <w:r>
        <w:rPr>
          <w:rStyle w:val="23"/>
          <w:rFonts w:hint="default" w:hAnsi="仿宋"/>
        </w:rPr>
        <w:t>万元，占</w:t>
      </w:r>
      <w:r>
        <w:rPr>
          <w:rStyle w:val="23"/>
          <w:rFonts w:hint="eastAsia" w:hAnsi="仿宋" w:eastAsia="仿宋_GB2312"/>
          <w:lang w:val="en-US" w:eastAsia="zh-CN"/>
        </w:rPr>
        <w:t>82.37</w:t>
      </w:r>
      <w:r>
        <w:rPr>
          <w:rStyle w:val="24"/>
          <w:rFonts w:hint="eastAsia" w:ascii="仿宋_GB2312" w:hAnsi="仿宋" w:eastAsia="仿宋_GB2312"/>
        </w:rPr>
        <w:t>%</w:t>
      </w:r>
      <w:r>
        <w:rPr>
          <w:rStyle w:val="24"/>
          <w:rFonts w:hint="eastAsia" w:ascii="仿宋_GB2312" w:hAnsi="仿宋" w:eastAsia="仿宋_GB2312"/>
          <w:lang w:eastAsia="zh-CN"/>
        </w:rPr>
        <w:t>；</w:t>
      </w:r>
      <w:r>
        <w:rPr>
          <w:rStyle w:val="24"/>
          <w:rFonts w:hint="eastAsia" w:ascii="仿宋_GB2312" w:hAnsi="仿宋" w:eastAsia="仿宋_GB2312"/>
          <w:lang w:val="en-US" w:eastAsia="zh-CN"/>
        </w:rPr>
        <w:t>项目支出24万元，占17.63%</w:t>
      </w:r>
      <w:r>
        <w:rPr>
          <w:rStyle w:val="23"/>
          <w:rFonts w:hint="default" w:hAnsi="仿宋"/>
        </w:rPr>
        <w:t>。</w:t>
      </w:r>
    </w:p>
    <w:p w14:paraId="6AFEB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2F04588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Style w:val="24"/>
          <w:rFonts w:hint="eastAsia" w:ascii="仿宋_GB2312" w:hAnsi="仿宋" w:eastAsia="仿宋_GB2312"/>
        </w:rPr>
        <w:t>202</w:t>
      </w:r>
      <w:r>
        <w:rPr>
          <w:rStyle w:val="24"/>
          <w:rFonts w:hint="eastAsia" w:ascii="仿宋_GB2312" w:hAnsi="仿宋" w:eastAsia="仿宋_GB2312"/>
          <w:lang w:val="en-US" w:eastAsia="zh-CN"/>
        </w:rPr>
        <w:t>6</w:t>
      </w:r>
      <w:r>
        <w:rPr>
          <w:rStyle w:val="23"/>
          <w:rFonts w:hint="default" w:hAnsi="仿宋"/>
        </w:rPr>
        <w:t>年一般公共预算当年支出</w:t>
      </w:r>
      <w:r>
        <w:rPr>
          <w:rFonts w:hint="eastAsia" w:ascii="仿宋_GB2312" w:hAnsi="微软雅黑" w:eastAsia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136.14</w:t>
      </w:r>
      <w:r>
        <w:rPr>
          <w:rStyle w:val="23"/>
          <w:rFonts w:hint="default" w:hAnsi="仿宋"/>
        </w:rPr>
        <w:t>万元，包括：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一般公共服务支出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107.79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社会保障和就业支出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16.6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医疗卫生支出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4.74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住房保障支出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7.01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</w:t>
      </w:r>
      <w:r>
        <w:rPr>
          <w:rStyle w:val="23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（详见单位预算公开表4,5,6,7）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188AC5DC">
      <w:pPr>
        <w:widowControl/>
        <w:adjustRightInd w:val="0"/>
        <w:snapToGrid w:val="0"/>
        <w:spacing w:line="240" w:lineRule="auto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3099EDA0">
      <w:pPr>
        <w:widowControl/>
        <w:adjustRightInd w:val="0"/>
        <w:snapToGrid w:val="0"/>
        <w:spacing w:line="240" w:lineRule="auto"/>
        <w:ind w:firstLine="42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6530" cy="3549650"/>
            <wp:effectExtent l="4445" t="4445" r="15875" b="8255"/>
            <wp:docPr id="1" name="图表 1" descr="7b0a202020202263686172745265734964223a202232303437353935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BB75628">
      <w:pPr>
        <w:widowControl/>
        <w:adjustRightInd w:val="0"/>
        <w:snapToGrid w:val="0"/>
        <w:spacing w:line="240" w:lineRule="auto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7B9EB1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7002387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112.14</w:t>
      </w:r>
      <w:r>
        <w:rPr>
          <w:rFonts w:hint="eastAsia" w:ascii="仿宋_GB2312" w:hAnsi="仿宋" w:eastAsia="仿宋_GB2312"/>
          <w:sz w:val="32"/>
          <w:szCs w:val="32"/>
        </w:rPr>
        <w:t>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减少7.08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减少6.31%，主要原因是涉及人员类相关资金减少。</w:t>
      </w:r>
    </w:p>
    <w:p w14:paraId="58BC6F2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99.18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万元，主要包括：基本工资、津贴补贴、奖金、绩效工资、机关事业单位基本养老保险缴费、职业年金缴费、职工基本医疗保险缴费、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机关事业单位补充医疗保险</w:t>
      </w:r>
      <w:r>
        <w:rPr>
          <w:rFonts w:hint="eastAsia" w:ascii="仿宋_GB2312" w:hAnsi="仿宋" w:eastAsia="仿宋_GB2312"/>
          <w:sz w:val="32"/>
          <w:szCs w:val="32"/>
        </w:rPr>
        <w:t>、其他社会保障缴费、住房公积金、其他工资福利支出、奖励金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其他交通费用等。</w:t>
      </w:r>
    </w:p>
    <w:p w14:paraId="1C00F6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12.96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万元，主要包括：办公费、印刷费、水费、电费、邮电费、差旅费、维修（护）费、租赁费、会议费、培训费、公务接待费、劳务费、委托业务费、工会经费、福利费、其他商品和服务支出、办公设备购置等。</w:t>
      </w:r>
    </w:p>
    <w:p w14:paraId="65435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3CCC0A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sz w:val="32"/>
          <w:szCs w:val="32"/>
        </w:rPr>
        <w:t>年一般公共预算拨款项目支出预算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 w:cs="Times New Roman"/>
          <w:sz w:val="32"/>
          <w:szCs w:val="32"/>
        </w:rPr>
        <w:t>万元,比202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32"/>
          <w:szCs w:val="32"/>
        </w:rPr>
        <w:t>年预算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减少1.22</w:t>
      </w:r>
      <w:r>
        <w:rPr>
          <w:rFonts w:hint="eastAsia" w:ascii="仿宋_GB2312" w:hAnsi="仿宋" w:eastAsia="仿宋_GB2312" w:cs="Times New Roman"/>
          <w:sz w:val="32"/>
          <w:szCs w:val="32"/>
        </w:rPr>
        <w:t>万元,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减少5.08</w:t>
      </w:r>
      <w:r>
        <w:rPr>
          <w:rFonts w:hint="eastAsia" w:ascii="仿宋_GB2312" w:hAnsi="仿宋" w:eastAsia="仿宋_GB2312" w:cs="Times New Roman"/>
          <w:sz w:val="32"/>
          <w:szCs w:val="32"/>
        </w:rPr>
        <w:t>%,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减少</w:t>
      </w:r>
      <w:r>
        <w:rPr>
          <w:rFonts w:hint="eastAsia" w:ascii="仿宋_GB2312" w:hAnsi="仿宋" w:eastAsia="仿宋_GB2312" w:cs="Times New Roman"/>
          <w:sz w:val="32"/>
          <w:szCs w:val="32"/>
        </w:rPr>
        <w:t>的主要原因是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项目实施中两癌筛查人员减少，导致项目资金较少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 w14:paraId="5902DE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五、部门一般公共预算财政拨款“三公”经费、培训费、会议费等情况</w:t>
      </w:r>
    </w:p>
    <w:p w14:paraId="076B62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3E395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BBABB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A118C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16DFC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35A61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3337D4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F8015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53F548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137BE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4D5026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10.8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减少1.2万元，减少原因为办公用房由县委办统管，水电相关费用划拨至县委办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3CC9D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629DC3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部门政府采购预算总额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无。</w:t>
      </w:r>
    </w:p>
    <w:p w14:paraId="0DFD89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年，部门面向中小企业预留政府采购项目预算金额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70299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220432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18.82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净值4.92万元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110</w:t>
      </w:r>
      <w:r>
        <w:rPr>
          <w:rFonts w:hint="eastAsia" w:ascii="仿宋_GB2312" w:hAnsi="仿宋" w:eastAsia="仿宋_GB2312"/>
          <w:sz w:val="32"/>
          <w:szCs w:val="32"/>
        </w:rPr>
        <w:t>平方米，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共用县委办公楼</w:t>
      </w:r>
      <w:r>
        <w:rPr>
          <w:rFonts w:hint="eastAsia" w:ascii="仿宋_GB2312" w:hAnsi="仿宋" w:eastAsia="仿宋_GB2312"/>
          <w:sz w:val="32"/>
          <w:szCs w:val="32"/>
        </w:rPr>
        <w:t>。预算部门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公务用车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单价20万元以上的设备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暂无</w:t>
      </w:r>
      <w:r>
        <w:rPr>
          <w:rFonts w:hint="eastAsia" w:ascii="仿宋_GB2312" w:hAnsi="仿宋" w:eastAsia="仿宋_GB2312"/>
          <w:sz w:val="32"/>
          <w:szCs w:val="32"/>
        </w:rPr>
        <w:t>采购固定资产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计划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22408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5419E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7AFE07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年未安排政府性基金预算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193A8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171B08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5E9F2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0AF27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本部门年初预算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安排项目为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年度妇女“两癌”免费检查项目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计划为全县2023-2025年未参与过“两癌”免费筛查的33-64岁城乡低收入妇女进行免费检查，参与人数2000人，费用人均120元，市妇联全额配套资金。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4E00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371DC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未安排预算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430A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002D0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未安排预算。</w:t>
      </w:r>
    </w:p>
    <w:p w14:paraId="41D98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00D4BF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7ACC9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6A40302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绩效目标管理情况。</w:t>
      </w:r>
      <w:r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2025年我单位严格按照绩效目标管理相关要求，通过预算管理一体化信息系统申报了部门整体绩效目标1个，项目绩效4个，分别是基层妇女参与社会治理专项资金、春节慰问费、2025年驻村干部省级补助经费资金、2025年市列为民办实事项目妇女“两癌”检查市级补助资金。分别以 1-6 月、1-9 月两个时段为节点，集中对各项目绩效目标实现程度和预算执行情况开展绩效监控，包括4个项目的资金执行、年度绩效目标、绩效指标完成情况，实现了项目支出绩效自评及部门整体支出绩效自评全覆盖。</w:t>
      </w:r>
    </w:p>
    <w:p w14:paraId="0D34038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4E75C1C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hAnsi="仿宋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hAnsi="仿宋" w:cs="Times New Roman"/>
          <w:kern w:val="2"/>
          <w:sz w:val="32"/>
          <w:szCs w:val="32"/>
          <w:lang w:val="en-US" w:eastAsia="zh-CN" w:bidi="ar-SA"/>
        </w:rPr>
        <w:t>单位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预算纳入绩效目标管理的项目</w:t>
      </w:r>
      <w:r>
        <w:rPr>
          <w:rFonts w:hint="eastAsia" w:hAnsi="仿宋" w:cs="Times New Roman"/>
          <w:kern w:val="2"/>
          <w:sz w:val="32"/>
          <w:szCs w:val="32"/>
          <w:lang w:val="en-US" w:eastAsia="zh-CN" w:bidi="ar-SA"/>
        </w:rPr>
        <w:t>1个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hAnsi="仿宋" w:cs="Times New Roman"/>
          <w:kern w:val="2"/>
          <w:sz w:val="32"/>
          <w:szCs w:val="32"/>
          <w:lang w:val="en-US" w:eastAsia="zh-CN" w:bidi="ar-SA"/>
        </w:rPr>
        <w:t>按要求落实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落实预算整体支出绩效目标管理</w:t>
      </w:r>
      <w:r>
        <w:rPr>
          <w:rFonts w:hint="eastAsia" w:hAnsi="仿宋" w:cs="Times New Roman"/>
          <w:kern w:val="2"/>
          <w:sz w:val="32"/>
          <w:szCs w:val="32"/>
          <w:lang w:val="en-US" w:eastAsia="zh-CN" w:bidi="ar-SA"/>
        </w:rPr>
        <w:t>和项目支出绩效目标管理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67B46D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7E003F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078D49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50FB73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575C17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44565A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7B3F4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731DA7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522C6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、一般公共服务支出（类）: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反映政府提供一般公共服务的支出。</w:t>
      </w:r>
    </w:p>
    <w:p w14:paraId="787A2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、社会保障和就业支出（类）: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单位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在社会保障与就业方面的支出。</w:t>
      </w:r>
    </w:p>
    <w:p w14:paraId="1316A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、社会保障和就业支出（类）行政事业单位养老支出（款）: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反映用于单位养老方面的支出。</w:t>
      </w:r>
    </w:p>
    <w:p w14:paraId="5B599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、社会保障和就业支出（类）其他社会保障和就业支出（款）其他社会保障和就业支出（项）: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反映除上述项目以外其他用于社会保障和就业方面的支出。</w:t>
      </w:r>
    </w:p>
    <w:p w14:paraId="25215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、卫生健康支出（类）: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单位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卫生健康方面的支出</w:t>
      </w:r>
    </w:p>
    <w:p w14:paraId="02B46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13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、卫生健康支出（类）行政事业单位医疗（款）: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反映单位医疗方面的支出。</w:t>
      </w:r>
    </w:p>
    <w:p w14:paraId="27B52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14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、卫生健康支出（类）行政事业单位医疗（款）行政单位医疗（项）:</w:t>
      </w:r>
      <w:r>
        <w:rPr>
          <w:rFonts w:ascii="Arial" w:hAnsi="Arial" w:eastAsia="Arial" w:cs="Arial"/>
          <w:b/>
          <w:bCs/>
          <w:w w:val="15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反映财政部门安排的行政单位基本医疗保险缴费经费，未参加医疗保险的行政单位的公费医疗经费，按国家规定享受离休人员、红军老战士待遇人员的医疗经费。</w:t>
      </w:r>
    </w:p>
    <w:p w14:paraId="782BE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、卫生健康支出（类）行政事业单位医疗（款）公务员医疗补助（项）:</w:t>
      </w:r>
    </w:p>
    <w:p w14:paraId="1177F55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sz w:val="32"/>
          <w:szCs w:val="32"/>
        </w:rPr>
      </w:pPr>
      <w:r>
        <w:rPr>
          <w:w w:val="100"/>
          <w:sz w:val="32"/>
          <w:szCs w:val="32"/>
        </w:rPr>
        <w:t>反映财政部门安排的公务员医疗补助经费。</w:t>
      </w:r>
    </w:p>
    <w:p w14:paraId="5C3B2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b/>
          <w:bCs/>
          <w:w w:val="100"/>
          <w:sz w:val="32"/>
          <w:szCs w:val="32"/>
          <w:lang w:val="en-US" w:eastAsia="zh-CN" w:bidi="ar-SA"/>
        </w:rPr>
        <w:t>16、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农林水支出（类）: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单位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农林水事务支出。</w:t>
      </w:r>
    </w:p>
    <w:p w14:paraId="11A1F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17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、住房保障支出（类）: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集中反映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单位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用于住房方面的支出。</w:t>
      </w:r>
    </w:p>
    <w:p w14:paraId="6B015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18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、工资福利支出（类）: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反映单位开支的在职职工和编制外长期聘用人员的各类劳动报酬，以及为上述人员缴纳的各项社会保险费等。</w:t>
      </w:r>
    </w:p>
    <w:p w14:paraId="42D59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19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、商品和服务支出（类）: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反映单位购买商品和服务的支出（不包括用于购置固定资产、战略性和应急性物资储备等资本性支出</w:t>
      </w:r>
      <w:r>
        <w:rPr>
          <w:rFonts w:ascii="仿宋_GB2312" w:hAnsi="仿宋_GB2312" w:eastAsia="仿宋_GB2312" w:cs="仿宋_GB2312"/>
          <w:spacing w:val="-140"/>
          <w:w w:val="100"/>
          <w:sz w:val="32"/>
          <w:szCs w:val="32"/>
        </w:rPr>
        <w:t>。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）</w:t>
      </w:r>
    </w:p>
    <w:p w14:paraId="5B061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、对个人和家庭的补助（类）: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反映政府用于对个人和家庭的补助支出。</w:t>
      </w:r>
    </w:p>
    <w:p w14:paraId="3C950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21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、资本性支出（类）: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反映单位安排的资本性支出。切块由发展改革部门安排的基本建设支出不在此科目反映。</w:t>
      </w:r>
    </w:p>
    <w:p w14:paraId="7156E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22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、其他支出（类）: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反映不能划分到上述经济科目的其他支出。</w:t>
      </w:r>
    </w:p>
    <w:p w14:paraId="6B43B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contextualSpacing/>
        <w:jc w:val="right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2FFAFD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contextualSpacing/>
        <w:jc w:val="right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1C5558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contextualSpacing/>
        <w:jc w:val="right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1B34D1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contextualSpacing/>
        <w:jc w:val="right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E227F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contextualSpacing/>
        <w:jc w:val="right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45842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contextualSpacing/>
        <w:jc w:val="center"/>
        <w:textAlignment w:val="auto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环县妇女联合会</w:t>
      </w:r>
    </w:p>
    <w:p w14:paraId="3C67E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5440" w:firstLineChars="1700"/>
        <w:contextualSpacing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2026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03DB2D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 w14:paraId="129677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 w14:paraId="477BE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 w14:paraId="0891DF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 w14:paraId="753B4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 w14:paraId="525CE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环县妇女联合会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202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0BE357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1600" w:firstLineChars="500"/>
        <w:contextualSpacing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2.环县妇女联合会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整体支出绩效目标表</w:t>
      </w:r>
    </w:p>
    <w:p w14:paraId="4ED09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1600" w:firstLineChars="500"/>
        <w:contextualSpacing/>
        <w:textAlignment w:val="auto"/>
        <w:rPr>
          <w:rFonts w:ascii="宋体" w:hAnsi="宋体"/>
          <w:b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环县妇女联合会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支出绩效目标表</w:t>
      </w: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附件1</w:t>
      </w:r>
    </w:p>
    <w:p w14:paraId="36F12F81">
      <w:pPr>
        <w:spacing w:line="36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表一、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收支总体情况表</w:t>
      </w:r>
    </w:p>
    <w:p w14:paraId="76B183AD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11"/>
        <w:tblW w:w="96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1600"/>
        <w:gridCol w:w="3236"/>
        <w:gridCol w:w="1412"/>
      </w:tblGrid>
      <w:tr w14:paraId="694C4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665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   入</w:t>
            </w:r>
          </w:p>
        </w:tc>
        <w:tc>
          <w:tcPr>
            <w:tcW w:w="4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483D79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   出</w:t>
            </w:r>
          </w:p>
        </w:tc>
      </w:tr>
      <w:tr w14:paraId="46B0C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EDD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E64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B2F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D5EFA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6E0D3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F6476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一、一般公共预算财政拨款收入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2EEB3502">
            <w:pPr>
              <w:jc w:val="righ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136.14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675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5742FB6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107.79</w:t>
            </w:r>
          </w:p>
        </w:tc>
      </w:tr>
      <w:tr w14:paraId="4D7F2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2636D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064789A7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E6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7177DD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67C5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287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三、国有资本经营预算收入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5949262A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C5A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3A65A1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38C5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1C53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四、教育专户核算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66DC9D2A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8C1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3BA3FB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0392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10CFE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五、事业收入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703A04F4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05A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CDA4FC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C7DF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843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六、上级补助收入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3AF953EA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F0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050F0F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40A8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039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七、附属单位上缴收入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4D9E9EC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11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603858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3F01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8FD4D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八、经营收入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4F296895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23B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F720E59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16.6</w:t>
            </w:r>
          </w:p>
        </w:tc>
      </w:tr>
      <w:tr w14:paraId="163D0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B342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九、其他收入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68FB076E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98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九、社会保险基金支出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DE838B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86D6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E04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17C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D9D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十、卫生健康支出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CE35AB6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4.74</w:t>
            </w:r>
          </w:p>
        </w:tc>
      </w:tr>
      <w:tr w14:paraId="1D75D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470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F97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3E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十一、节能环保支出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1A35B6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AACB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99D2F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A03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B7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十二、城乡社区支出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CD7153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3658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D0FE3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82A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91C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十三、农林水支出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FD12B1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97B0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5C921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0EA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C82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十四、交通运输支出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591356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6D5F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B597C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A6A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D6A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十五、资源勘探工业信息等支出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C04425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8870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09CFB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D3D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2B4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十六、商业服务业等支出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65FB808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A658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15BBC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181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F51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十七、金融支出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308F46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95FA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6458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418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F0C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十八、援助其他地区支出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0411E2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9732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F403A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338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4AF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十九、自然资源海洋气象等支出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580CD7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050A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D5F1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2F1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DCF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二十、住房保障支出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42807F9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7.01</w:t>
            </w:r>
          </w:p>
        </w:tc>
      </w:tr>
      <w:tr w14:paraId="51543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8F730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106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751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二十一、粮油物资储备支出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06A546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E1B4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41F4E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5CB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33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二十二、国有资本经营预算支出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2CD5C9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8FCA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B7409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A86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95B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二十三、灾害防治及应急管理支出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E95041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7EDD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C1549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DEB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D82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二十四、预备费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8F2A95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CD1B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037DA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12E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9EA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二十五、其他支出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47E7F5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9A47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251EB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F2F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4DE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二十六、转移性支出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D9F615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A92B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9CD7D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CA2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750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二十七、债务还本支出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81934F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4A62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1FDB2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4F6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78B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二十八、债务付息支出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D3278E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7F3E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4CC1A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 w14:paraId="0F93D5A5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136.14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B1D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F54B29B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136.14</w:t>
            </w:r>
          </w:p>
        </w:tc>
      </w:tr>
      <w:tr w14:paraId="75131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F48CA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0D7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6DD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13148BB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0799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4EA34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十、上年结转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4FD2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42B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三十一、结转下年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57F6A45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4CD6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45E5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十一、上年结余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AEDB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608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E69CE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FF4B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187A1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 w14:paraId="1F2D5D5B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136.14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80233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141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23943E41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136.14</w:t>
            </w:r>
          </w:p>
        </w:tc>
      </w:tr>
    </w:tbl>
    <w:p w14:paraId="44DAB41D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701" w:right="1587" w:bottom="1587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78A73760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表二、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收入总体情况表</w:t>
      </w:r>
    </w:p>
    <w:p w14:paraId="0FF6208A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11"/>
        <w:tblW w:w="95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2"/>
        <w:gridCol w:w="2976"/>
      </w:tblGrid>
      <w:tr w14:paraId="102EF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0FB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A3303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6A923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F76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BD4DC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22639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EDCB050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一、一般公共预算财政拨款收入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4AAE5CE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136.14</w:t>
            </w:r>
          </w:p>
        </w:tc>
      </w:tr>
      <w:tr w14:paraId="47A77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16EA13F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经费拨款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F48E4B2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136.14</w:t>
            </w:r>
          </w:p>
        </w:tc>
      </w:tr>
      <w:tr w14:paraId="561CE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60E670B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492B8D0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4B7B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7F1A7F7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647D75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19D9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1E89749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三、国有资本经营预算收入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E9AFA88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052C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B6A5477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36B917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7DBA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43B8456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四、教育专户核算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559A51E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6149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D067CC4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B911031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0799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29115A7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五、事业收入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AB0D77C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E881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C85F960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5444576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4067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DF2B24B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六、上级补助收入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A107300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EFAD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A7BF3B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29609AE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2156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0A9E6EC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七、附属单位上缴收入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CBAA37B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B312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4A5EF8C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B6EF5AA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723E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F441AAC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八、经营收入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317425F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AB46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B116D67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4EEDECD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6AE3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0F16B1F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九、其他收入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A870622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137E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EEC9E70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E85B6C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4DC0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154A42A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本年收入合计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945B19F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136.14</w:t>
            </w:r>
          </w:p>
        </w:tc>
      </w:tr>
      <w:tr w14:paraId="59754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D324546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5F087DF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48A7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14FE8D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040FA97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A9A3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19CD8E7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0149EB3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7BE3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29B1509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3ECBAD9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3D2C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5C1704A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41CDC30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D78E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285881E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十、上年结转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12F95B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875D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226D5A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财政性资金结转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4A6D513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2E32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CD71D27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十一、上年结余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F7712C8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C0AB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2DE73AD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33CF26C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7253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EC8C0C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3A0B23A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136.14</w:t>
            </w:r>
          </w:p>
        </w:tc>
      </w:tr>
    </w:tbl>
    <w:p w14:paraId="2B11C337">
      <w:pPr>
        <w:widowControl/>
        <w:spacing w:line="560" w:lineRule="exact"/>
        <w:ind w:firstLine="360" w:firstLineChars="200"/>
        <w:jc w:val="left"/>
        <w:rPr>
          <w:rFonts w:ascii="宋体" w:hAnsi="宋体"/>
          <w:bCs/>
          <w:color w:val="000000"/>
          <w:sz w:val="18"/>
          <w:szCs w:val="18"/>
        </w:rPr>
      </w:pPr>
      <w:r>
        <w:rPr>
          <w:rFonts w:hint="eastAsia" w:ascii="宋体" w:hAnsi="宋体"/>
          <w:bCs/>
          <w:color w:val="000000"/>
          <w:sz w:val="18"/>
          <w:szCs w:val="18"/>
        </w:rPr>
        <w:t>备注：无内容应公开空表并说明情况。</w:t>
      </w:r>
    </w:p>
    <w:p w14:paraId="71B76A94">
      <w:pPr>
        <w:tabs>
          <w:tab w:val="left" w:pos="127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1F6E4894">
      <w:pPr>
        <w:tabs>
          <w:tab w:val="left" w:pos="127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13F22582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表三、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支出总体情况表</w:t>
      </w:r>
    </w:p>
    <w:p w14:paraId="5B53E93D">
      <w:pPr>
        <w:jc w:val="right"/>
        <w:rPr>
          <w:rFonts w:hint="eastAsia"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p w14:paraId="72FC053B">
      <w:pPr>
        <w:jc w:val="right"/>
        <w:rPr>
          <w:rFonts w:hint="eastAsia" w:ascii="宋体" w:hAnsi="宋体" w:cs="Arial"/>
          <w:color w:val="000000"/>
          <w:kern w:val="0"/>
          <w:sz w:val="18"/>
          <w:szCs w:val="18"/>
        </w:rPr>
      </w:pPr>
    </w:p>
    <w:tbl>
      <w:tblPr>
        <w:tblStyle w:val="11"/>
        <w:tblW w:w="92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1"/>
        <w:gridCol w:w="1472"/>
        <w:gridCol w:w="1395"/>
        <w:gridCol w:w="1380"/>
        <w:gridCol w:w="1425"/>
      </w:tblGrid>
      <w:tr w14:paraId="34C8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</w:t>
            </w:r>
          </w:p>
        </w:tc>
      </w:tr>
      <w:tr w14:paraId="7C78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2081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1B9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136.14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D0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136.14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CC8C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DFF8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5B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1898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一般公共服务支出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33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AF0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109.26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35760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CDFB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4C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25A9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财政事务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3BF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2E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109.26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D7C67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BEB8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47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6CD9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DC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6D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806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A3D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B03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0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群众团体事务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B3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41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1B5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25B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B9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D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工会事务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36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C19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73B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EB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CA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368F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社会保障和就业支出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DC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14.44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29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14.44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47DD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0C96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5C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94C1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行政事业单位养老支出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EA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14.02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20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14.02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8EBE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62065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0C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78AB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机关事业单位养老保险缴费支出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813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2A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F18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1E8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FA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BFE7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机关事业单位职业年金缴费支出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66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02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57C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B4F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E4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0FB5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其他社会保障和就业支出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4B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118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1A9F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F69A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77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FDF4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其他社会保障和就业支出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7C6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6B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8EC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425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A1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3DF4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卫生健康支出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89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CA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25DA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AC54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DA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81BC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行政事业单位医疗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D45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DDB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5C29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3566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F9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32A2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行政单位医疗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F86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78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DCA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910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82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052F6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补充医疗保险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2A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4F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A33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425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2F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4B1B1F2">
            <w:pPr>
              <w:keepNext w:val="0"/>
              <w:keepLines w:val="0"/>
              <w:widowControl/>
              <w:suppressLineNumbers w:val="0"/>
              <w:ind w:firstLine="542" w:firstLineChars="3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其他医疗支出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CB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F4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D78B8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EC9C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016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A8F9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住房保障支出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855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8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34109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F5125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21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715A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住房改革支出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3B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97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4AB77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DF72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CD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5ADE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住房公积金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0F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03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56D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5A9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B55FEE6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4B9AC75D">
      <w:pPr>
        <w:rPr>
          <w:rFonts w:ascii="仿宋_GB2312" w:hAnsi="微软雅黑" w:eastAsia="仿宋_GB2312"/>
          <w:sz w:val="18"/>
          <w:szCs w:val="18"/>
        </w:rPr>
      </w:pPr>
    </w:p>
    <w:p w14:paraId="09084188">
      <w:pPr>
        <w:rPr>
          <w:rFonts w:ascii="仿宋_GB2312" w:hAnsi="微软雅黑" w:eastAsia="仿宋_GB2312"/>
          <w:sz w:val="18"/>
          <w:szCs w:val="18"/>
        </w:rPr>
      </w:pPr>
    </w:p>
    <w:p w14:paraId="079E98E6">
      <w:pPr>
        <w:rPr>
          <w:rFonts w:ascii="仿宋_GB2312" w:hAnsi="微软雅黑" w:eastAsia="仿宋_GB2312"/>
          <w:sz w:val="18"/>
          <w:szCs w:val="18"/>
        </w:rPr>
      </w:pPr>
    </w:p>
    <w:p w14:paraId="443C497E">
      <w:pPr>
        <w:rPr>
          <w:rFonts w:ascii="仿宋_GB2312" w:hAnsi="微软雅黑" w:eastAsia="仿宋_GB2312"/>
          <w:sz w:val="18"/>
          <w:szCs w:val="18"/>
        </w:rPr>
      </w:pPr>
    </w:p>
    <w:p w14:paraId="33DCD163">
      <w:pPr>
        <w:rPr>
          <w:rFonts w:ascii="仿宋_GB2312" w:hAnsi="微软雅黑" w:eastAsia="仿宋_GB2312"/>
          <w:sz w:val="18"/>
          <w:szCs w:val="18"/>
        </w:rPr>
      </w:pPr>
    </w:p>
    <w:p w14:paraId="61B0530D">
      <w:pPr>
        <w:rPr>
          <w:rFonts w:ascii="仿宋_GB2312" w:hAnsi="微软雅黑" w:eastAsia="仿宋_GB2312"/>
          <w:sz w:val="18"/>
          <w:szCs w:val="18"/>
        </w:rPr>
      </w:pPr>
    </w:p>
    <w:p w14:paraId="17DCACDB">
      <w:pPr>
        <w:rPr>
          <w:rFonts w:ascii="仿宋_GB2312" w:hAnsi="微软雅黑" w:eastAsia="仿宋_GB2312"/>
          <w:sz w:val="18"/>
          <w:szCs w:val="18"/>
        </w:rPr>
      </w:pPr>
    </w:p>
    <w:p w14:paraId="1EC07DC4">
      <w:pPr>
        <w:rPr>
          <w:rFonts w:ascii="仿宋_GB2312" w:hAnsi="微软雅黑" w:eastAsia="仿宋_GB2312"/>
          <w:sz w:val="18"/>
          <w:szCs w:val="18"/>
        </w:rPr>
      </w:pPr>
    </w:p>
    <w:p w14:paraId="55934EEC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表四、财政拨款收支总体情况表</w:t>
      </w:r>
    </w:p>
    <w:p w14:paraId="2DA2DA16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11"/>
        <w:tblW w:w="98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363"/>
        <w:gridCol w:w="3882"/>
        <w:gridCol w:w="1362"/>
      </w:tblGrid>
      <w:tr w14:paraId="7CE35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1A6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    入</w:t>
            </w:r>
          </w:p>
        </w:tc>
        <w:tc>
          <w:tcPr>
            <w:tcW w:w="5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169B6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    出</w:t>
            </w:r>
          </w:p>
        </w:tc>
      </w:tr>
      <w:tr w14:paraId="2059F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DED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72F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031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EA36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</w:tr>
      <w:tr w14:paraId="4D710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2D7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44C44F5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136.14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62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一、本年支出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B55E42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A160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F7D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C4B33F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136.14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120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（一）一般公共服务支出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CD73428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107.79</w:t>
            </w:r>
          </w:p>
        </w:tc>
      </w:tr>
      <w:tr w14:paraId="4C023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2FA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（二）政府性基金预算财政拨款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BC674E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005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（二）外交支出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14ED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3F1A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E62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（三）国有资本经营预算财政拨款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0279EC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E0A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09D181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5588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E52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1C36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ED3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（四）公共安全支出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0FB5EB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8F26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9B5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35B88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CAC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（五）教育支出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CFDA92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6976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904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489FF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D29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（六）科学技术支出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85DCDF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3944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12A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A9E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349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（七）文化体育与传媒支出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56903E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5B9F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2B0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B970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C82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（八）社会保障和就业支出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F5A7364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16.6</w:t>
            </w:r>
          </w:p>
        </w:tc>
      </w:tr>
      <w:tr w14:paraId="467F6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FFF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047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417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（九）社会保险基金支出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6FCC34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4873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AB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39B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DF7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（十）卫生健康支出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1FB6247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4.74</w:t>
            </w:r>
          </w:p>
        </w:tc>
      </w:tr>
      <w:tr w14:paraId="2D5C0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AEF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15D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96A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（十一）节能环保支出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374700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5B3D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1F0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970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253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（十二）城乡社区支出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721706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BF3F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023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5A5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0A6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（十三）农林水支出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CD624A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7BDA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758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AD8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C10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（十四）交通运输支出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DE48D3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AB86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8B7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ED8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03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（十五）资源勘探工业信息等支出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704EDB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339F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EDD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017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2D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（十六）商业服务业等支出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0F6000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2C52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A1A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A90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922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（十七）金融支出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244265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FA51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161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2BD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C92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（十八）援助其他地区支出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01ECBA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5EC2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B92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38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536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（十九）自然资源海洋气象等支出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08A149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26D0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48F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022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5D2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（二十）住房保障支出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CA1E264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7.01</w:t>
            </w:r>
          </w:p>
        </w:tc>
      </w:tr>
      <w:tr w14:paraId="63196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E81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1E7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94E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（二十一）粮油物资储备支出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951CC5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53E4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B75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C22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699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（二十二）国有资本经营预算支出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7B179F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1B19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4F5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88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6F1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（二十三）灾害防治及应急管理支出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B438B0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F757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D3D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8CE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689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（二十四）预备费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4986E7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A020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DC0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E46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13E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（二十五）其他支出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7410A1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ABBC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BA4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42B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C87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（二十六）债务还本支出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32865C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04F8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C86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0AF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C69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（二十七）债务付息支出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F99E93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4A61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602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EDC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058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（二十八）债务发行费用支出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5DC3F2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1D45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784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A20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A48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（二十九）抗疫特别国债还本支出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F24FE7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0B58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EED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649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4A7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13C6BE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5346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F01C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E00F8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136.14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F0F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F86B2CE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136.14</w:t>
            </w:r>
          </w:p>
        </w:tc>
      </w:tr>
    </w:tbl>
    <w:p w14:paraId="1AF91EB5">
      <w:pPr>
        <w:widowControl/>
        <w:spacing w:line="560" w:lineRule="exact"/>
        <w:ind w:firstLine="360" w:firstLineChars="200"/>
        <w:jc w:val="left"/>
        <w:rPr>
          <w:rFonts w:ascii="宋体" w:hAnsi="宋体" w:cs="Arial"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bCs/>
          <w:color w:val="000000"/>
          <w:kern w:val="0"/>
          <w:sz w:val="18"/>
          <w:szCs w:val="18"/>
        </w:rPr>
        <w:t>备注：无内容应公开空表并说明情况。</w:t>
      </w:r>
    </w:p>
    <w:p w14:paraId="4794B845">
      <w:pPr>
        <w:rPr>
          <w:rFonts w:ascii="仿宋_GB2312" w:hAnsi="微软雅黑" w:eastAsia="仿宋_GB2312"/>
          <w:sz w:val="18"/>
          <w:szCs w:val="18"/>
        </w:rPr>
      </w:pPr>
    </w:p>
    <w:p w14:paraId="7DADDFE5">
      <w:pPr>
        <w:rPr>
          <w:rFonts w:ascii="仿宋_GB2312" w:hAnsi="微软雅黑" w:eastAsia="仿宋_GB2312"/>
          <w:sz w:val="18"/>
          <w:szCs w:val="18"/>
        </w:rPr>
      </w:pPr>
    </w:p>
    <w:p w14:paraId="20C76ECE">
      <w:pPr>
        <w:rPr>
          <w:rFonts w:ascii="仿宋_GB2312" w:hAnsi="微软雅黑" w:eastAsia="仿宋_GB2312"/>
          <w:sz w:val="18"/>
          <w:szCs w:val="18"/>
        </w:rPr>
      </w:pPr>
    </w:p>
    <w:p w14:paraId="1E9EFC35">
      <w:pPr>
        <w:rPr>
          <w:rFonts w:ascii="仿宋_GB2312" w:hAnsi="微软雅黑" w:eastAsia="仿宋_GB2312"/>
          <w:sz w:val="18"/>
          <w:szCs w:val="18"/>
        </w:rPr>
      </w:pPr>
    </w:p>
    <w:p w14:paraId="004E15CE">
      <w:pPr>
        <w:tabs>
          <w:tab w:val="left" w:pos="2784"/>
        </w:tabs>
        <w:rPr>
          <w:rFonts w:ascii="仿宋_GB2312" w:hAnsi="微软雅黑" w:eastAsia="仿宋_GB2312"/>
          <w:sz w:val="18"/>
          <w:szCs w:val="18"/>
        </w:rPr>
      </w:pPr>
    </w:p>
    <w:p w14:paraId="2D0657E3">
      <w:pPr>
        <w:tabs>
          <w:tab w:val="left" w:pos="2784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7E37F2BD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表五、财政拨款支出表</w:t>
      </w:r>
    </w:p>
    <w:p w14:paraId="535EDD07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11"/>
        <w:tblW w:w="14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5"/>
        <w:gridCol w:w="1065"/>
        <w:gridCol w:w="1066"/>
        <w:gridCol w:w="1025"/>
        <w:gridCol w:w="1066"/>
        <w:gridCol w:w="1066"/>
        <w:gridCol w:w="1025"/>
        <w:gridCol w:w="1066"/>
        <w:gridCol w:w="1066"/>
        <w:gridCol w:w="1025"/>
        <w:gridCol w:w="1025"/>
      </w:tblGrid>
      <w:tr w14:paraId="498EB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FCC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3C2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F51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358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BF647D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国有资本经营预算支出</w:t>
            </w:r>
          </w:p>
        </w:tc>
      </w:tr>
      <w:tr w14:paraId="3DD45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589F5A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ACE9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7A0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D5E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B29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CBF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BC9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7F5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F95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814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D50B5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7014B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E2F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16F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6AB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79A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1E1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27F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382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3C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9CE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2F3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379B1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</w:t>
            </w:r>
          </w:p>
        </w:tc>
      </w:tr>
      <w:tr w14:paraId="70786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19C3041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环县妇女联合会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AE201AF">
            <w:pPr>
              <w:jc w:val="right"/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136.14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FEF163A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136.14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9ACB641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112.14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FFBCE65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524799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18FE6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8CA3E72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A6A0547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61A1D0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5799259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138B1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18E8081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9C42D5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1C33CF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E5F209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A4F425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5BBA9B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C33C70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6F6CC6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51ABC9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E7F118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E0FB9EC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53890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13691D2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9EC3B8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F032AB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8F44F6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62EA01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39C335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B07E84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02E27E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5BC01CE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96689E7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0DC06B7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0125C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5AD7AC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ACE87E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5AFBF7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2DBCDE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3C71AB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7C3E9E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9DC1AB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8D7983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CACABF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24BE4D2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692C2D7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01A3A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4231AD0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9B7B9C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6532CB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58D99D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B43B47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E22B58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6BB8F5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8FD5C8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DB6572E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54CAA72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F9C9499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54A30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1451A6B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AF1593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DBB999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ACB34A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7CA815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A67D32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5F737F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5B8FB9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973B63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929404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9BFE31B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1AD9A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3F7B819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E9D063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D94FBC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452F1B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01B32C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734307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D16A88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CBB5F6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28962A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CB465E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C8E6921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07ACA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7F018E4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869FF5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86EF99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C5CE5E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0829F0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B1132A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2A7B64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E6EE57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910825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60008B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A557978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485C9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01FBD3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7171AF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2AC390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5693ED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0B0BA5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902204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C79ADA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54F00B9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70842B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C94BBDC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FB58781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46B14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</w:tcPr>
          <w:p w14:paraId="76707EB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ED46CE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AEF62E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1DACF6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C94E3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52B4CB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C0273B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754FE2B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28BC37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83C2CFC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7212C78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 w14:paraId="47FB8E32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35FFE380">
      <w:pPr>
        <w:rPr>
          <w:rFonts w:ascii="仿宋_GB2312" w:hAnsi="微软雅黑" w:eastAsia="仿宋_GB2312"/>
          <w:sz w:val="18"/>
          <w:szCs w:val="18"/>
        </w:rPr>
      </w:pPr>
    </w:p>
    <w:p w14:paraId="7D9FADBE">
      <w:pPr>
        <w:rPr>
          <w:rFonts w:ascii="仿宋_GB2312" w:hAnsi="微软雅黑" w:eastAsia="仿宋_GB2312"/>
          <w:sz w:val="18"/>
          <w:szCs w:val="18"/>
        </w:rPr>
      </w:pPr>
    </w:p>
    <w:p w14:paraId="30D870EF">
      <w:pPr>
        <w:rPr>
          <w:rFonts w:ascii="仿宋_GB2312" w:hAnsi="微软雅黑" w:eastAsia="仿宋_GB2312"/>
          <w:sz w:val="18"/>
          <w:szCs w:val="18"/>
        </w:rPr>
      </w:pPr>
    </w:p>
    <w:p w14:paraId="5AB78C00">
      <w:pPr>
        <w:rPr>
          <w:rFonts w:ascii="仿宋_GB2312" w:hAnsi="微软雅黑" w:eastAsia="仿宋_GB2312"/>
          <w:sz w:val="18"/>
          <w:szCs w:val="18"/>
        </w:rPr>
      </w:pPr>
    </w:p>
    <w:p w14:paraId="40BFEE17">
      <w:pPr>
        <w:tabs>
          <w:tab w:val="left" w:pos="3936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1085A7FE">
      <w:pPr>
        <w:tabs>
          <w:tab w:val="left" w:pos="3936"/>
        </w:tabs>
        <w:rPr>
          <w:rFonts w:ascii="仿宋_GB2312" w:hAnsi="微软雅黑" w:eastAsia="仿宋_GB2312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0FD05057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表六、一般公共预算支出情况表</w:t>
      </w:r>
    </w:p>
    <w:p w14:paraId="2808AFDA">
      <w:pPr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p w14:paraId="0CB35E3B">
      <w:pPr>
        <w:widowControl/>
        <w:spacing w:line="560" w:lineRule="exact"/>
        <w:ind w:firstLine="360" w:firstLineChars="200"/>
        <w:jc w:val="left"/>
        <w:rPr>
          <w:rFonts w:hint="eastAsia" w:ascii="宋体" w:hAnsi="宋体"/>
          <w:sz w:val="18"/>
          <w:szCs w:val="18"/>
        </w:rPr>
      </w:pPr>
    </w:p>
    <w:tbl>
      <w:tblPr>
        <w:tblStyle w:val="11"/>
        <w:tblW w:w="99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3439"/>
        <w:gridCol w:w="969"/>
        <w:gridCol w:w="1616"/>
        <w:gridCol w:w="2559"/>
      </w:tblGrid>
      <w:tr w14:paraId="4006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5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一般公共预算支出</w:t>
            </w:r>
          </w:p>
        </w:tc>
      </w:tr>
      <w:tr w14:paraId="5B663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 w14:paraId="7692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80E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6B88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C224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49B8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144.42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7923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144.42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0465FC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A5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910E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201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AC48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一般公共服务支出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DD20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109.96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A0E3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109.96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B3FC12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42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9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8"/>
                <w:lang w:val="en-US" w:eastAsia="zh-CN" w:bidi="ar"/>
              </w:rPr>
              <w:t xml:space="preserve">  20129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F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群众团体事务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1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109.96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2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109.96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48D09DE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457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C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201290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7FFF"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E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5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29AEC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6D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2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2012906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A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工会事务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A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8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E7726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B2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E046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208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C2C8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社会保障和就业支出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CED5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14.44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E6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14.44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8F6359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90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9836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20805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1967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行政事业单位养老支出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E8DE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14.02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F5B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14.02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D5683C9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76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E480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2080505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C583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机关事业单位基本养老保险缴费支出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C6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9.35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C4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DD10B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51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D4C3D91">
            <w:pPr>
              <w:ind w:firstLine="540" w:firstLineChars="30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2080506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FD57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机关事业单位职业年金缴费支出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0A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42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F0A1D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47A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13B1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20899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2D15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其他社会保障和就业支出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55E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4B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92E3D4E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5D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E2FD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2089999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32E0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其他社会保障和就业支出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002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BD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680FF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46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6121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210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0691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卫生健康支出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31CA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E15B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A3B1169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18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580B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21011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E735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行政事业单位医疗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1822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0ED7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C27088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D1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8BE0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2101101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0E19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行政单位医疗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EC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89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1CB42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7F1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B6C2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2101103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C454A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补充医疗保险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26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8F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72453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DE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8103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81AE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其他医疗支出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B340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D8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AB24F6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95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8780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221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1936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住房保障支出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1764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CC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C66B241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87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9675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22102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C848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住房改革支出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6E518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69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92C3C6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D2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C888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2210201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7545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住房公积金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39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29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7300B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62C889C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414D7C03">
      <w:pPr>
        <w:rPr>
          <w:rFonts w:ascii="仿宋_GB2312" w:hAnsi="微软雅黑" w:eastAsia="仿宋_GB2312"/>
          <w:sz w:val="18"/>
          <w:szCs w:val="18"/>
        </w:rPr>
      </w:pPr>
    </w:p>
    <w:p w14:paraId="2F207A35">
      <w:pPr>
        <w:rPr>
          <w:rFonts w:ascii="仿宋_GB2312" w:hAnsi="微软雅黑" w:eastAsia="仿宋_GB2312"/>
          <w:sz w:val="18"/>
          <w:szCs w:val="18"/>
        </w:rPr>
      </w:pPr>
    </w:p>
    <w:p w14:paraId="7AEE6B26">
      <w:pPr>
        <w:rPr>
          <w:rFonts w:ascii="仿宋_GB2312" w:hAnsi="微软雅黑" w:eastAsia="仿宋_GB2312"/>
          <w:sz w:val="18"/>
          <w:szCs w:val="18"/>
        </w:rPr>
      </w:pPr>
    </w:p>
    <w:p w14:paraId="309F7545">
      <w:pPr>
        <w:spacing w:line="60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767964A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表七、一般公共预算基本支出情况表</w:t>
      </w:r>
    </w:p>
    <w:p w14:paraId="78E3536B">
      <w:pPr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11"/>
        <w:tblW w:w="94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3930"/>
        <w:gridCol w:w="1210"/>
        <w:gridCol w:w="1488"/>
        <w:gridCol w:w="1488"/>
      </w:tblGrid>
      <w:tr w14:paraId="4F0B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9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经济分类科目</w:t>
            </w:r>
          </w:p>
        </w:tc>
        <w:tc>
          <w:tcPr>
            <w:tcW w:w="4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4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一般公共预算基本支出</w:t>
            </w:r>
          </w:p>
        </w:tc>
      </w:tr>
      <w:tr w14:paraId="7BAC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E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C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9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F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7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</w:t>
            </w:r>
          </w:p>
        </w:tc>
      </w:tr>
      <w:tr w14:paraId="66F93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0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9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E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A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D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82E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C956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7572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6340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112.14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5712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F965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0563F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2D0A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5C84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工资福利支出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C865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C279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D3D14B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B068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39FD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FDCC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基本工资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4E72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28.88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7761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28.88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5D384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569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4F74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CDB5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津贴补贴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C325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18E64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B4C8A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7D3E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E620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3A21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奖金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F88DA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A86B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B608F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BED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78BA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35A6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绩效工资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8E7F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14.69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B2077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D6901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AA6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53A0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C34C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机关事业单位基本养老保险缴费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1915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14.02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9383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14.02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83F16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4F1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15FD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9B93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职工基本医疗保险缴费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490F2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A77C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95CD2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4839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3FCD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CD05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公务员医疗补助缴费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78C0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F2B2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1A77B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B66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98BD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5445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其他社会保障缴费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AA7C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B26B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FBB88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67E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C610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22D1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住房公积金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B334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699D0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03509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7C3A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3112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6362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其他工资福利支出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25009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35455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55E5B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CB1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AD4F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5EEB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0EF0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900D30E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4D19C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301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0309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3730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办公费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D90C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7C088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1911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243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ED39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E103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CE29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1BDE1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AB27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F58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7ED8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B078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电费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B57DC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A0532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8D64C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886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41B4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6C2F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邮电费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16DD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A5A95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F885C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0.87 </w:t>
            </w:r>
          </w:p>
        </w:tc>
      </w:tr>
      <w:tr w14:paraId="41721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A025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1CB9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取暖费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50A0A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EFE90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39657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24F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F613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198D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差旅费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928E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9EB7B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9018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.00 </w:t>
            </w:r>
          </w:p>
        </w:tc>
      </w:tr>
      <w:tr w14:paraId="4CAA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2165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27BE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工会经费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5988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752B1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9089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8AAB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3C56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7D4B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福利费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0662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8ED27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CB5C2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75F1FDFC">
      <w:pPr>
        <w:tabs>
          <w:tab w:val="left" w:pos="151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0900DFBD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表八、一般公共预算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财政拨款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“三公”经费、会议费、培训费支出情况表</w:t>
      </w:r>
    </w:p>
    <w:p w14:paraId="403B1120">
      <w:pPr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11"/>
        <w:tblW w:w="144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5"/>
        <w:gridCol w:w="1358"/>
        <w:gridCol w:w="1361"/>
        <w:gridCol w:w="1361"/>
        <w:gridCol w:w="1361"/>
        <w:gridCol w:w="1362"/>
        <w:gridCol w:w="1265"/>
        <w:gridCol w:w="1265"/>
      </w:tblGrid>
      <w:tr w14:paraId="052F5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D54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80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861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36E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32BB65A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培训费</w:t>
            </w:r>
          </w:p>
        </w:tc>
      </w:tr>
      <w:tr w14:paraId="48933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C13C4A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BC2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87B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因公出国（境）费用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CDD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21B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公务用车购置和运行费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760021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5D9E44C8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27DF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C45EA8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84BD6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A35A3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38BE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1F7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公务用车购置费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65E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A4EA3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03A5D9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792E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D96E3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ED4F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25EE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3A50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A14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5F9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9C73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2B2C83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14:paraId="12843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4ED404A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790B37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DDF510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46AE8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B94552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AC2DEF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209057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27BAC69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41B8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25CBD10A"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环县妇女联合会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C1FC48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3EA90D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FBB0A5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1D2C3D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F18402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6787B8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140FD14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9803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1160C8B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6C2C1B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B9FEB1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C4A960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6711EF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013958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DF2286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63181F4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DCD7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546E2C0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A6F56F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34414A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FD54AC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A3134E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42595D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9D8716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3710861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A3B7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64A51D2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716CAF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7C3339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F722EA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6029B1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4F4A00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64D4CC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3ADED40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CCF6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0C97CA5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918872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49B46D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1AB182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F7A108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01EC9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0AE8F0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09DB8EE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B6CB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1FDD415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F1495D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221E24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FC9E1F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0C5334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72997F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EF10D5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56F80B4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642A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4CC3BE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49D612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17B410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4B297B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5ADB67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2C713F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A9C2F3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390B5DF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393A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63D9789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5AEFDC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847B84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5674B1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A927AE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5C9F92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5CCD58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5C80D86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1AE2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CCCCFF" w:fill="FFFFFF"/>
            <w:noWrap/>
          </w:tcPr>
          <w:p w14:paraId="03A5CB1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379A44B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19C2A4C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44CBFE4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757EE22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4E12C96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0AB146A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CCCCFF" w:fill="FFFFFF"/>
          </w:tcPr>
          <w:p w14:paraId="2F75B0B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5B6FF08C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00AFCDBC">
      <w:pPr>
        <w:rPr>
          <w:rFonts w:ascii="仿宋_GB2312" w:hAnsi="微软雅黑" w:eastAsia="仿宋_GB2312"/>
          <w:sz w:val="18"/>
          <w:szCs w:val="18"/>
        </w:rPr>
      </w:pPr>
    </w:p>
    <w:p w14:paraId="399568A9">
      <w:pPr>
        <w:rPr>
          <w:rFonts w:ascii="仿宋_GB2312" w:hAnsi="微软雅黑" w:eastAsia="仿宋_GB2312"/>
          <w:sz w:val="18"/>
          <w:szCs w:val="18"/>
        </w:rPr>
      </w:pPr>
    </w:p>
    <w:p w14:paraId="6E754326">
      <w:pPr>
        <w:rPr>
          <w:rFonts w:ascii="仿宋_GB2312" w:hAnsi="微软雅黑" w:eastAsia="仿宋_GB2312"/>
          <w:sz w:val="18"/>
          <w:szCs w:val="18"/>
        </w:rPr>
      </w:pPr>
    </w:p>
    <w:p w14:paraId="048C991E">
      <w:pPr>
        <w:rPr>
          <w:rFonts w:ascii="仿宋_GB2312" w:hAnsi="微软雅黑" w:eastAsia="仿宋_GB2312"/>
          <w:sz w:val="18"/>
          <w:szCs w:val="18"/>
        </w:rPr>
      </w:pPr>
    </w:p>
    <w:p w14:paraId="6D7FFBE7">
      <w:pPr>
        <w:rPr>
          <w:rFonts w:ascii="仿宋_GB2312" w:hAnsi="微软雅黑" w:eastAsia="仿宋_GB2312"/>
          <w:sz w:val="18"/>
          <w:szCs w:val="18"/>
        </w:rPr>
      </w:pPr>
    </w:p>
    <w:p w14:paraId="6DDFA3DC">
      <w:pPr>
        <w:rPr>
          <w:rFonts w:ascii="仿宋_GB2312" w:hAnsi="微软雅黑" w:eastAsia="仿宋_GB2312"/>
          <w:sz w:val="18"/>
          <w:szCs w:val="18"/>
        </w:rPr>
      </w:pPr>
    </w:p>
    <w:p w14:paraId="64E9C183">
      <w:pPr>
        <w:rPr>
          <w:rFonts w:ascii="仿宋_GB2312" w:hAnsi="微软雅黑" w:eastAsia="仿宋_GB2312"/>
          <w:sz w:val="18"/>
          <w:szCs w:val="18"/>
        </w:rPr>
      </w:pPr>
    </w:p>
    <w:p w14:paraId="71DA1048">
      <w:pPr>
        <w:tabs>
          <w:tab w:val="left" w:pos="181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3764E3F1">
      <w:pPr>
        <w:tabs>
          <w:tab w:val="left" w:pos="1812"/>
        </w:tabs>
        <w:rPr>
          <w:rFonts w:ascii="仿宋_GB2312" w:hAnsi="微软雅黑" w:eastAsia="仿宋_GB2312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4E4246EB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表九、一般公共预算财政拨款机关运行经费表</w:t>
      </w:r>
    </w:p>
    <w:p w14:paraId="08208791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11"/>
        <w:tblW w:w="941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121"/>
        <w:gridCol w:w="1814"/>
        <w:gridCol w:w="1814"/>
        <w:gridCol w:w="1814"/>
      </w:tblGrid>
      <w:tr w14:paraId="0D235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313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8B6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7D9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0D3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BB2E5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531A9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0AD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5D3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7AE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AE2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51A88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40663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C9FF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1DCA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D2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12.96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8A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7CCF83E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1C8B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6B1D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5A4A5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[30201]办公费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90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6.43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36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B3403BD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0094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57490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6C1C0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[30202]印刷费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7FEC4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1.50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F9FF6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1.50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8B616EB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B5CC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C1FB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46FB6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[30205]水费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94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769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120AE41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178E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9B62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FEDFC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[30206]电费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DB130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AE28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30A3F1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47F3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B1139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B527D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07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AC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10648EC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0099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E82BE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ED73E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[30208]取暖费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C400B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A5686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94F6D01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118F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BEE01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5E116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[30209]物业管理费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5ED1C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8C37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50D07E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87B7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80B33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6B915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77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98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41C7397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8E88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B9A09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494A8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[30213]维修（护）费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0B8F8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406CD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3F0DEFD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A1D7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07D36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CACE3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[30215]会议费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93D9C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D7DEC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E7918EA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BFCD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874B9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D1A1D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[30218]专用材料费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4670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24B50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20CA51F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D043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E5090">
            <w:pPr>
              <w:widowControl/>
              <w:jc w:val="center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67B01">
            <w:pPr>
              <w:widowControl/>
              <w:jc w:val="lef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8]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工会经费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2D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32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AA593BF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7AE2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1B7DF">
            <w:pPr>
              <w:widowControl/>
              <w:jc w:val="center"/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45F57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13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3D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5F72AE6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0122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9D12F">
            <w:pPr>
              <w:widowControl/>
              <w:jc w:val="center"/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E9F27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[30231]公务用车运行维护费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79B9F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50B6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56ACB8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F0B6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EC128">
            <w:pPr>
              <w:widowControl/>
              <w:jc w:val="center"/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D6321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709FD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9649E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412B129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7DE3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41CA2">
            <w:pPr>
              <w:widowControl/>
              <w:jc w:val="center"/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C263F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[31002]办公设备购置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65B69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E6328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DDC7B5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055C71E5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0C808EE6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表十、政府性基金预算支出情况表</w:t>
      </w:r>
    </w:p>
    <w:p w14:paraId="4A1A473C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11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22C39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DA906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7563EE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14:paraId="31453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4851A7D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2FCB3E8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5B8E1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F2A701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6C0A67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7622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AF7164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5E16DE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275F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A4FB55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EE0B1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C194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8D0883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91064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2D50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B7674E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DE0EC2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EF9E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B7F38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3B30BA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2213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2EDCA8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39E9F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738D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83E42F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6AF85A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A839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4D5439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4001FD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8E99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45A179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2A4AEB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0640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995AC0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C593DF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B1275A6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3705703E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表十一、部门管理转移支付表</w:t>
      </w:r>
    </w:p>
    <w:p w14:paraId="4D5C7E55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11"/>
        <w:tblW w:w="952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1361"/>
        <w:gridCol w:w="1361"/>
        <w:gridCol w:w="1361"/>
        <w:gridCol w:w="1361"/>
      </w:tblGrid>
      <w:tr w14:paraId="0461F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2FF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F15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E12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37D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3C207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国有资本经营预算项目支出</w:t>
            </w:r>
          </w:p>
        </w:tc>
      </w:tr>
      <w:tr w14:paraId="5B6C3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53B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868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855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638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ABAB1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33A9B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5F7BDA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0F0BAD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1CE395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3F56A7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13F5EAC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19F6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591DB9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8FC21F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A95380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940FF9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0A584BF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739C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55A5C7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C92BE8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A8DCB9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99177F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0440590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FFB1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624428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C963F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BECA23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8F8A88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526B657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D736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F3A2E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92331D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18257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755D2E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67B1D27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9052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D0D09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6301FE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666F70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E30A45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3C7D26A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DB2C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8F24F6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61AC1A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B79C2B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9C282F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1528543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B53C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1537EE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3F2884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79A7DC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0F9D25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25FAAAE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A1EC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AFC272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4B27B1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0B68DF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44F1E9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4D3A38C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2D1A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CC57F5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EC58A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8F1CB4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7DA5F6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11574A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6488FAF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0601ACBE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微软雅黑" w:eastAsia="仿宋_GB2312"/>
          <w:sz w:val="18"/>
          <w:szCs w:val="18"/>
        </w:rPr>
        <w:br w:type="pag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表十二、国有资本经营预算支出情况表</w:t>
      </w:r>
    </w:p>
    <w:p w14:paraId="7703C939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11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3C6E6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92EB8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E5BCFC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14:paraId="3525D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7EBC4D6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7B5E6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6C2A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BD880DC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7D5DD7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154D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710433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E4A06E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C7E1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662C7A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36A6C9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EE98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A0CCC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609463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E72D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8DBCC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7A52FD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8616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2E07DB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61C0C9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B766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641AE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49E7BE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B822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97FDF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16E915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A71E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3B1FCF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C480D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1DF9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A3CE2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27DD77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3284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526605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FDD03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D991BB5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7F2D85CE">
      <w:pPr>
        <w:tabs>
          <w:tab w:val="left" w:pos="1848"/>
        </w:tabs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tbl>
      <w:tblPr>
        <w:tblW w:w="103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1102"/>
        <w:gridCol w:w="1711"/>
        <w:gridCol w:w="2769"/>
        <w:gridCol w:w="1615"/>
        <w:gridCol w:w="1019"/>
      </w:tblGrid>
      <w:tr w14:paraId="3362D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2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部门整体支出绩效目标表</w:t>
            </w:r>
          </w:p>
        </w:tc>
      </w:tr>
      <w:tr w14:paraId="395F0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B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（2026 年度）</w:t>
            </w:r>
          </w:p>
        </w:tc>
      </w:tr>
      <w:tr w14:paraId="6598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0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单位（部门）名称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9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环县妇女联合会</w:t>
            </w:r>
          </w:p>
        </w:tc>
      </w:tr>
      <w:tr w14:paraId="16A75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3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年度绩效目标</w:t>
            </w:r>
            <w:bookmarkStart w:id="0" w:name="_GoBack"/>
            <w:bookmarkEnd w:id="0"/>
          </w:p>
        </w:tc>
        <w:tc>
          <w:tcPr>
            <w:tcW w:w="82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3D9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年，环县妇联将高举习近平新时代中国特色社会主义伟大旗帜，全面贯彻党的二十大及二十届四中全会精神，深刻领悟习近平总书记关于妇女儿童和妇联工作的重要论述，严格落实全国、省、市妇联最新工作部署，锚定“引领、服务、联系”核心职能，以“强基固本、提质增效、品牌赋能”为主线，团结带领全县广大妇女跟党奋进新征程、巾帼建功新时代，为确保“十四五”圆满收官、“十五五”良好开局、全面建设社会主义现代化幸福美好新环县贡献磅礴巾帼力量。</w:t>
            </w:r>
          </w:p>
        </w:tc>
      </w:tr>
      <w:tr w14:paraId="52FD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8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预算情况（万元）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0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按支出类型分</w:t>
            </w:r>
          </w:p>
        </w:tc>
        <w:tc>
          <w:tcPr>
            <w:tcW w:w="4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D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预算金额（万元）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C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按来源类型分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9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预算金额（万元）</w:t>
            </w:r>
          </w:p>
        </w:tc>
      </w:tr>
      <w:tr w14:paraId="2C1D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23E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D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F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人员经费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6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9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上级财政补助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8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797AD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588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45B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4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公用经费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C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3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本级财政安排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0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112.14</w:t>
            </w:r>
          </w:p>
        </w:tc>
      </w:tr>
      <w:tr w14:paraId="3119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F3A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242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6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E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1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709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1E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10F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9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4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492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6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收入预算合计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A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136.14</w:t>
            </w:r>
          </w:p>
        </w:tc>
      </w:tr>
      <w:tr w14:paraId="425D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37F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986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D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对下转移支付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D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C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支出预算合计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B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136.14</w:t>
            </w:r>
          </w:p>
        </w:tc>
      </w:tr>
      <w:tr w14:paraId="7EB7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7A2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E29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2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F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AB8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84E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EB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D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B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1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9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7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2A05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0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基本运行指标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D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8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预算收支管理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0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基本支出预算执行率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4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67A7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B83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7B6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CFB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B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项目支出预算执行率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E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≤100%</w:t>
            </w:r>
          </w:p>
        </w:tc>
      </w:tr>
      <w:tr w14:paraId="3853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0A7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D49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41B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D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“三公经费”控制率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C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≤100%</w:t>
            </w:r>
          </w:p>
        </w:tc>
      </w:tr>
      <w:tr w14:paraId="58CF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B69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8E0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F3C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C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结转结余变动率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3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≤0%</w:t>
            </w:r>
          </w:p>
        </w:tc>
      </w:tr>
      <w:tr w14:paraId="26FF6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4E1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282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4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F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财务管理制度健全性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1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健全</w:t>
            </w:r>
          </w:p>
        </w:tc>
      </w:tr>
      <w:tr w14:paraId="6AABD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6F4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641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6F4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8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资金使用规范性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5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规范</w:t>
            </w:r>
          </w:p>
        </w:tc>
      </w:tr>
      <w:tr w14:paraId="4BF1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D7D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2BB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F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采购管理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A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政府采购规范性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7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规范</w:t>
            </w:r>
          </w:p>
        </w:tc>
      </w:tr>
      <w:tr w14:paraId="6980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A25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7F4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1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资产管理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1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资产管理规范性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E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规范</w:t>
            </w:r>
          </w:p>
        </w:tc>
      </w:tr>
      <w:tr w14:paraId="0CA41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F68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635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2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人员管理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5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在职人员控制率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6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≤100%</w:t>
            </w:r>
          </w:p>
        </w:tc>
      </w:tr>
      <w:tr w14:paraId="0706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E95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54A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F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绩效管理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3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预算绩效管理常态化机制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0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健全</w:t>
            </w:r>
          </w:p>
        </w:tc>
      </w:tr>
      <w:tr w14:paraId="4428D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D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重点履职指标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6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F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7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保障职工人数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B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6人</w:t>
            </w:r>
          </w:p>
        </w:tc>
      </w:tr>
      <w:tr w14:paraId="7F70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6B2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74A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80A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F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选树各类家庭典型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8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50户</w:t>
            </w:r>
          </w:p>
        </w:tc>
      </w:tr>
      <w:tr w14:paraId="2943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E26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CFC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454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7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开展家庭教育指导服务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1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≥60场次</w:t>
            </w:r>
          </w:p>
        </w:tc>
      </w:tr>
      <w:tr w14:paraId="436D6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331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AD6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A6D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9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结对关爱困境留守儿童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4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 300名</w:t>
            </w:r>
          </w:p>
        </w:tc>
      </w:tr>
      <w:tr w14:paraId="64F43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67B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F02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5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3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家庭教育知道服务成效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7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031F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0A3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814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1B2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8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结对关爱儿童符合率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A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39C6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ED7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496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B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4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资金到位率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15E5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924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EDC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3B7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2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妇女维权等工作保障及时性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A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及时</w:t>
            </w:r>
          </w:p>
        </w:tc>
      </w:tr>
      <w:tr w14:paraId="7076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5F7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DDE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7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6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C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10.8万元</w:t>
            </w:r>
          </w:p>
        </w:tc>
      </w:tr>
      <w:tr w14:paraId="57BD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5B2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0CA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722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F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项目投资金额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E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24万元</w:t>
            </w:r>
          </w:p>
        </w:tc>
      </w:tr>
      <w:tr w14:paraId="36A22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2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部门综合指标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E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5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1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专项资金使用率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3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14C1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068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7CE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9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3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妇女维权关爱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B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提升</w:t>
            </w:r>
          </w:p>
        </w:tc>
      </w:tr>
      <w:tr w14:paraId="79A7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A45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6B4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EDD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D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妇女相关普法宣传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0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应宣尽宣</w:t>
            </w:r>
          </w:p>
        </w:tc>
      </w:tr>
      <w:tr w14:paraId="444B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624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DAD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C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B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关爱对象满意度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A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</w:tr>
      <w:tr w14:paraId="7B421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DF5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659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ABE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1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来访妇女满意度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F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</w:tr>
      <w:tr w14:paraId="7B37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1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可持续发展能力指标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0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4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E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队伍管理水平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1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有所提升</w:t>
            </w:r>
          </w:p>
        </w:tc>
      </w:tr>
      <w:tr w14:paraId="29E74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7B0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43D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F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宣传培训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1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宣传资料印刷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E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2500份</w:t>
            </w:r>
          </w:p>
        </w:tc>
      </w:tr>
      <w:tr w14:paraId="2B49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4E1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E61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C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制度建设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8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人员考核机制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C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健全</w:t>
            </w:r>
          </w:p>
        </w:tc>
      </w:tr>
      <w:tr w14:paraId="02339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6BC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4EF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9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改革创新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E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管理机制完备性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2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不断完善</w:t>
            </w:r>
          </w:p>
        </w:tc>
      </w:tr>
    </w:tbl>
    <w:p w14:paraId="3145561B">
      <w:pPr>
        <w:tabs>
          <w:tab w:val="left" w:pos="1848"/>
        </w:tabs>
      </w:pPr>
    </w:p>
    <w:p w14:paraId="42477615">
      <w:pPr>
        <w:tabs>
          <w:tab w:val="left" w:pos="1848"/>
        </w:tabs>
      </w:pPr>
    </w:p>
    <w:p w14:paraId="2FB76657">
      <w:pPr>
        <w:tabs>
          <w:tab w:val="left" w:pos="1848"/>
        </w:tabs>
      </w:pPr>
    </w:p>
    <w:p w14:paraId="7CDB47FC">
      <w:pPr>
        <w:tabs>
          <w:tab w:val="left" w:pos="1848"/>
        </w:tabs>
      </w:pPr>
    </w:p>
    <w:p w14:paraId="1DCE972A">
      <w:pPr>
        <w:tabs>
          <w:tab w:val="left" w:pos="1848"/>
        </w:tabs>
      </w:pPr>
    </w:p>
    <w:p w14:paraId="2D674D46">
      <w:pPr>
        <w:tabs>
          <w:tab w:val="left" w:pos="1848"/>
        </w:tabs>
      </w:pPr>
    </w:p>
    <w:p w14:paraId="1D3B0584">
      <w:pPr>
        <w:tabs>
          <w:tab w:val="left" w:pos="1848"/>
        </w:tabs>
      </w:pPr>
    </w:p>
    <w:p w14:paraId="052067BC">
      <w:pPr>
        <w:tabs>
          <w:tab w:val="left" w:pos="1848"/>
        </w:tabs>
      </w:pPr>
    </w:p>
    <w:p w14:paraId="7F643A03">
      <w:pPr>
        <w:tabs>
          <w:tab w:val="left" w:pos="1848"/>
        </w:tabs>
      </w:pPr>
    </w:p>
    <w:p w14:paraId="254B8589">
      <w:pPr>
        <w:tabs>
          <w:tab w:val="left" w:pos="1848"/>
        </w:tabs>
      </w:pPr>
    </w:p>
    <w:p w14:paraId="343608FF">
      <w:pPr>
        <w:tabs>
          <w:tab w:val="left" w:pos="1848"/>
        </w:tabs>
      </w:pPr>
    </w:p>
    <w:p w14:paraId="418810C8">
      <w:pPr>
        <w:tabs>
          <w:tab w:val="left" w:pos="1848"/>
        </w:tabs>
      </w:pPr>
    </w:p>
    <w:p w14:paraId="58B093B7">
      <w:pPr>
        <w:tabs>
          <w:tab w:val="left" w:pos="1848"/>
        </w:tabs>
      </w:pPr>
    </w:p>
    <w:p w14:paraId="63F11BEA">
      <w:pPr>
        <w:tabs>
          <w:tab w:val="left" w:pos="1848"/>
        </w:tabs>
      </w:pPr>
    </w:p>
    <w:p w14:paraId="7A861460">
      <w:pPr>
        <w:tabs>
          <w:tab w:val="left" w:pos="1848"/>
        </w:tabs>
      </w:pPr>
    </w:p>
    <w:p w14:paraId="0DF83250">
      <w:pPr>
        <w:tabs>
          <w:tab w:val="left" w:pos="1848"/>
        </w:tabs>
      </w:pPr>
    </w:p>
    <w:p w14:paraId="2F235A7C">
      <w:pPr>
        <w:tabs>
          <w:tab w:val="left" w:pos="1848"/>
        </w:tabs>
      </w:pPr>
    </w:p>
    <w:p w14:paraId="419D9D89">
      <w:pPr>
        <w:tabs>
          <w:tab w:val="left" w:pos="1848"/>
        </w:tabs>
      </w:pPr>
    </w:p>
    <w:p w14:paraId="216D45BA">
      <w:pPr>
        <w:tabs>
          <w:tab w:val="left" w:pos="1848"/>
        </w:tabs>
      </w:pPr>
    </w:p>
    <w:p w14:paraId="3127E39C">
      <w:pPr>
        <w:tabs>
          <w:tab w:val="left" w:pos="1848"/>
        </w:tabs>
      </w:pPr>
    </w:p>
    <w:p w14:paraId="76D26F28">
      <w:pPr>
        <w:tabs>
          <w:tab w:val="left" w:pos="1848"/>
        </w:tabs>
      </w:pPr>
    </w:p>
    <w:p w14:paraId="14A3C34E">
      <w:pPr>
        <w:tabs>
          <w:tab w:val="left" w:pos="1848"/>
        </w:tabs>
      </w:pPr>
    </w:p>
    <w:p w14:paraId="0E38F641">
      <w:pPr>
        <w:tabs>
          <w:tab w:val="left" w:pos="1848"/>
        </w:tabs>
      </w:pPr>
    </w:p>
    <w:p w14:paraId="6EE60720">
      <w:pPr>
        <w:tabs>
          <w:tab w:val="left" w:pos="1848"/>
        </w:tabs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3</w:t>
      </w:r>
    </w:p>
    <w:tbl>
      <w:tblPr>
        <w:tblW w:w="94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125"/>
        <w:gridCol w:w="2370"/>
        <w:gridCol w:w="2955"/>
        <w:gridCol w:w="1980"/>
      </w:tblGrid>
      <w:tr w14:paraId="735C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B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2026年部门项目预算绩效目标表</w:t>
            </w:r>
          </w:p>
        </w:tc>
      </w:tr>
      <w:tr w14:paraId="5B3F3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A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（2026）年度</w:t>
            </w:r>
          </w:p>
        </w:tc>
      </w:tr>
      <w:tr w14:paraId="139F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9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（上级专项）妇女两癌</w:t>
            </w:r>
          </w:p>
        </w:tc>
      </w:tr>
      <w:tr w14:paraId="1962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A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0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环县妇女联合会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A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1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环县妇幼保健院</w:t>
            </w:r>
          </w:p>
        </w:tc>
      </w:tr>
      <w:tr w14:paraId="34B1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A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项目属性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F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延续项目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2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项目期限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6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 w14:paraId="763AE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7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A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4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D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24.00</w:t>
            </w:r>
          </w:p>
        </w:tc>
      </w:tr>
      <w:tr w14:paraId="5F49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CC5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9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其中：财政拨款</w:t>
            </w:r>
          </w:p>
        </w:tc>
        <w:tc>
          <w:tcPr>
            <w:tcW w:w="4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E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24.00</w:t>
            </w:r>
          </w:p>
        </w:tc>
      </w:tr>
      <w:tr w14:paraId="0CCB9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0B0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6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</w:t>
            </w:r>
          </w:p>
        </w:tc>
        <w:tc>
          <w:tcPr>
            <w:tcW w:w="4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978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C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F50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E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4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49C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C7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E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总体目标</w:t>
            </w:r>
          </w:p>
        </w:tc>
        <w:tc>
          <w:tcPr>
            <w:tcW w:w="8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C1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目标：2026年度省列为民办实事项目妇女“两癌”免费检查，对全县三年内（2023-2025年）未受检的33-64周岁150名城镇低收入妇女和1850名农村妇女进行宫颈癌、乳腺癌免费检查。检查费用120元/人，省级全额承担。</w:t>
            </w:r>
          </w:p>
        </w:tc>
      </w:tr>
      <w:tr w14:paraId="72A6C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2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5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F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2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D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0E72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401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40A0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E36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AC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符合条件的城镇妇女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9A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≥150人</w:t>
            </w:r>
          </w:p>
        </w:tc>
      </w:tr>
      <w:tr w14:paraId="2AB78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B0E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73B4CB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39259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1F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符合条件的农村妇女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85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≥1850人</w:t>
            </w:r>
          </w:p>
        </w:tc>
      </w:tr>
      <w:tr w14:paraId="5BC9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352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5A9B19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4EC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60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“两癌”检查技术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00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符合标准</w:t>
            </w:r>
          </w:p>
        </w:tc>
      </w:tr>
      <w:tr w14:paraId="354B3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501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45D83C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9656E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16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“两癌”筛查患病人员回访率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85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≥98%</w:t>
            </w:r>
          </w:p>
        </w:tc>
      </w:tr>
      <w:tr w14:paraId="5DB1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EBF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7C82C9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D92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02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检查任务完成是否及时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26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按6月底完成</w:t>
            </w:r>
          </w:p>
        </w:tc>
      </w:tr>
      <w:tr w14:paraId="6DAA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DB4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7D735E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DA56B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F7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资金报账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2E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及时</w:t>
            </w:r>
          </w:p>
        </w:tc>
      </w:tr>
      <w:tr w14:paraId="449E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152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4376DF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B6A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BD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检查费用预算控制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18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≤18万元</w:t>
            </w:r>
          </w:p>
        </w:tc>
      </w:tr>
      <w:tr w14:paraId="1A5CE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A08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204D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78F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D5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有效减轻家庭经济负担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56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减轻</w:t>
            </w:r>
          </w:p>
        </w:tc>
      </w:tr>
      <w:tr w14:paraId="25F4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21F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5823C3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A0F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C2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参加“两癌”筛查普及率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03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≥98%</w:t>
            </w:r>
          </w:p>
        </w:tc>
      </w:tr>
      <w:tr w14:paraId="64CD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C43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223584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06151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E4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带动家庭成员树立健康意识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38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</w:t>
            </w:r>
          </w:p>
        </w:tc>
      </w:tr>
      <w:tr w14:paraId="66A8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6E1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49D0C6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0E97A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EB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惠民政策落细落实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60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促进</w:t>
            </w:r>
          </w:p>
        </w:tc>
      </w:tr>
      <w:tr w14:paraId="7871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B9B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607F72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F5DC9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60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受检人群疾病发现治愈率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3B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  <w:tr w14:paraId="5C73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B39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7117B1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D6B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21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加大“两癌”免费筛查普及率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50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  <w:tr w14:paraId="133C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681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6110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564F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C2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受检妇女满意度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8E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≥98%</w:t>
            </w:r>
          </w:p>
        </w:tc>
      </w:tr>
      <w:tr w14:paraId="340BA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7DC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5BCA8C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0E8E47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BA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受检家庭满意度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5A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≥98%</w:t>
            </w:r>
          </w:p>
        </w:tc>
      </w:tr>
    </w:tbl>
    <w:p w14:paraId="02AE2674">
      <w:pPr>
        <w:tabs>
          <w:tab w:val="left" w:pos="1848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06CE7">
    <w:pPr>
      <w:pStyle w:val="7"/>
      <w:jc w:val="center"/>
    </w:pPr>
  </w:p>
  <w:p w14:paraId="7D1C4B9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0BA7B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5843AF8B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ZTdjNGViZDJlYjU3YTQyYmE4NjBhOGQ0NTBmMzk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C69B2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10F1DA1"/>
    <w:rsid w:val="03104A35"/>
    <w:rsid w:val="041164D3"/>
    <w:rsid w:val="05F27BD9"/>
    <w:rsid w:val="06FF4665"/>
    <w:rsid w:val="0B114967"/>
    <w:rsid w:val="0BCF2512"/>
    <w:rsid w:val="0CC872A8"/>
    <w:rsid w:val="0D31309F"/>
    <w:rsid w:val="0DDF3B08"/>
    <w:rsid w:val="0E1529C0"/>
    <w:rsid w:val="0F102A51"/>
    <w:rsid w:val="111725AC"/>
    <w:rsid w:val="113741D2"/>
    <w:rsid w:val="11C4189D"/>
    <w:rsid w:val="14620350"/>
    <w:rsid w:val="14A625C4"/>
    <w:rsid w:val="14C447F8"/>
    <w:rsid w:val="154E14D7"/>
    <w:rsid w:val="159E0B2C"/>
    <w:rsid w:val="17215F32"/>
    <w:rsid w:val="17C84600"/>
    <w:rsid w:val="1849069A"/>
    <w:rsid w:val="18C44BCB"/>
    <w:rsid w:val="1B9C202B"/>
    <w:rsid w:val="1C1E6EE4"/>
    <w:rsid w:val="1D34261E"/>
    <w:rsid w:val="1F2D317A"/>
    <w:rsid w:val="201700ED"/>
    <w:rsid w:val="21117017"/>
    <w:rsid w:val="21DE0AE6"/>
    <w:rsid w:val="23A423C5"/>
    <w:rsid w:val="24F779F0"/>
    <w:rsid w:val="25E26C0E"/>
    <w:rsid w:val="28043432"/>
    <w:rsid w:val="29B36EBE"/>
    <w:rsid w:val="2BF13CCD"/>
    <w:rsid w:val="2D4D587B"/>
    <w:rsid w:val="2E93259D"/>
    <w:rsid w:val="30E12562"/>
    <w:rsid w:val="31A33CBC"/>
    <w:rsid w:val="325C7F4F"/>
    <w:rsid w:val="375872F6"/>
    <w:rsid w:val="37702892"/>
    <w:rsid w:val="37712166"/>
    <w:rsid w:val="37FA3916"/>
    <w:rsid w:val="38431D54"/>
    <w:rsid w:val="385375DF"/>
    <w:rsid w:val="3A8B1791"/>
    <w:rsid w:val="3AC541FC"/>
    <w:rsid w:val="3C5C1637"/>
    <w:rsid w:val="3E304841"/>
    <w:rsid w:val="3E961AE5"/>
    <w:rsid w:val="3F5E5873"/>
    <w:rsid w:val="3F67457A"/>
    <w:rsid w:val="41100CB7"/>
    <w:rsid w:val="417E3DFD"/>
    <w:rsid w:val="43D30430"/>
    <w:rsid w:val="476B6BD2"/>
    <w:rsid w:val="48B066CF"/>
    <w:rsid w:val="48B94574"/>
    <w:rsid w:val="4B346E51"/>
    <w:rsid w:val="4B3C2D5F"/>
    <w:rsid w:val="4C800A2A"/>
    <w:rsid w:val="4F3C0099"/>
    <w:rsid w:val="4FF50F2A"/>
    <w:rsid w:val="518C1BE9"/>
    <w:rsid w:val="524061DD"/>
    <w:rsid w:val="527E074E"/>
    <w:rsid w:val="53CE63B5"/>
    <w:rsid w:val="56A143BE"/>
    <w:rsid w:val="5753088F"/>
    <w:rsid w:val="579503FF"/>
    <w:rsid w:val="57D60097"/>
    <w:rsid w:val="587B479B"/>
    <w:rsid w:val="596F2552"/>
    <w:rsid w:val="59EE2666"/>
    <w:rsid w:val="5B351579"/>
    <w:rsid w:val="5C2126DB"/>
    <w:rsid w:val="5C47112D"/>
    <w:rsid w:val="5C98591B"/>
    <w:rsid w:val="5E895E64"/>
    <w:rsid w:val="60267C63"/>
    <w:rsid w:val="60535296"/>
    <w:rsid w:val="61DC2641"/>
    <w:rsid w:val="687C2595"/>
    <w:rsid w:val="69104742"/>
    <w:rsid w:val="6A507835"/>
    <w:rsid w:val="6BDB3A77"/>
    <w:rsid w:val="6D714693"/>
    <w:rsid w:val="6DC5053A"/>
    <w:rsid w:val="6DFB3F5C"/>
    <w:rsid w:val="6E900B48"/>
    <w:rsid w:val="6E9D44A1"/>
    <w:rsid w:val="6F9A75F7"/>
    <w:rsid w:val="717402AD"/>
    <w:rsid w:val="71B173EB"/>
    <w:rsid w:val="71FE147A"/>
    <w:rsid w:val="72F95250"/>
    <w:rsid w:val="72FD2525"/>
    <w:rsid w:val="73C50EBA"/>
    <w:rsid w:val="7419338E"/>
    <w:rsid w:val="743774ED"/>
    <w:rsid w:val="74DE61F9"/>
    <w:rsid w:val="7662101C"/>
    <w:rsid w:val="766F574E"/>
    <w:rsid w:val="76AC673B"/>
    <w:rsid w:val="779C230C"/>
    <w:rsid w:val="78340796"/>
    <w:rsid w:val="7A7F1A71"/>
    <w:rsid w:val="7A884DCA"/>
    <w:rsid w:val="7B136D89"/>
    <w:rsid w:val="7B902188"/>
    <w:rsid w:val="7DD10836"/>
    <w:rsid w:val="7E3C65F7"/>
    <w:rsid w:val="7F6C6A68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1"/>
    <w:pPr>
      <w:ind w:left="674"/>
      <w:outlineLvl w:val="3"/>
    </w:pPr>
    <w:rPr>
      <w:rFonts w:ascii="Microsoft JhengHei" w:hAnsi="Microsoft JhengHei" w:eastAsia="Microsoft JhengHe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4"/>
    </w:pPr>
    <w:rPr>
      <w:rFonts w:ascii="仿宋_GB2312" w:hAnsi="仿宋_GB2312" w:eastAsia="仿宋_GB2312"/>
      <w:sz w:val="28"/>
      <w:szCs w:val="28"/>
    </w:rPr>
  </w:style>
  <w:style w:type="paragraph" w:styleId="6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0">
    <w:name w:val="annotation subject"/>
    <w:basedOn w:val="4"/>
    <w:next w:val="4"/>
    <w:link w:val="22"/>
    <w:autoRedefine/>
    <w:qFormat/>
    <w:uiPriority w:val="0"/>
    <w:rPr>
      <w:b/>
      <w:bCs/>
    </w:rPr>
  </w:style>
  <w:style w:type="character" w:styleId="13">
    <w:name w:val="line number"/>
    <w:qFormat/>
    <w:uiPriority w:val="0"/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页脚 Char"/>
    <w:link w:val="7"/>
    <w:autoRedefine/>
    <w:qFormat/>
    <w:uiPriority w:val="0"/>
    <w:rPr>
      <w:sz w:val="18"/>
      <w:szCs w:val="18"/>
    </w:rPr>
  </w:style>
  <w:style w:type="character" w:customStyle="1" w:styleId="16">
    <w:name w:val="页眉 Char"/>
    <w:link w:val="8"/>
    <w:qFormat/>
    <w:uiPriority w:val="0"/>
    <w:rPr>
      <w:sz w:val="18"/>
      <w:szCs w:val="18"/>
    </w:rPr>
  </w:style>
  <w:style w:type="paragraph" w:styleId="17">
    <w:name w:val="List Paragraph"/>
    <w:basedOn w:val="1"/>
    <w:qFormat/>
    <w:uiPriority w:val="0"/>
    <w:pPr>
      <w:ind w:firstLine="420" w:firstLineChars="200"/>
    </w:pPr>
  </w:style>
  <w:style w:type="character" w:customStyle="1" w:styleId="18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9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20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1">
    <w:name w:val="批注文字 Char"/>
    <w:link w:val="4"/>
    <w:autoRedefine/>
    <w:qFormat/>
    <w:uiPriority w:val="0"/>
    <w:rPr>
      <w:kern w:val="2"/>
      <w:sz w:val="21"/>
      <w:szCs w:val="22"/>
    </w:rPr>
  </w:style>
  <w:style w:type="character" w:customStyle="1" w:styleId="22">
    <w:name w:val="批注主题 Char"/>
    <w:link w:val="10"/>
    <w:qFormat/>
    <w:uiPriority w:val="0"/>
    <w:rPr>
      <w:b/>
      <w:bCs/>
      <w:kern w:val="2"/>
      <w:sz w:val="21"/>
      <w:szCs w:val="22"/>
    </w:rPr>
  </w:style>
  <w:style w:type="character" w:customStyle="1" w:styleId="23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5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6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paragraph" w:customStyle="1" w:styleId="27">
    <w:name w:val="正文1"/>
    <w:basedOn w:val="1"/>
    <w:autoRedefine/>
    <w:qFormat/>
    <w:uiPriority w:val="0"/>
    <w:pPr>
      <w:widowControl/>
    </w:pPr>
    <w:rPr>
      <w:rFonts w:ascii="Times New Roman" w:hAnsi="Times New Roman" w:cs="Times New Roman"/>
    </w:rPr>
  </w:style>
  <w:style w:type="character" w:customStyle="1" w:styleId="28">
    <w:name w:val="font41"/>
    <w:basedOn w:val="12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9">
    <w:name w:val="font5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0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224842940592968"/>
          <c:y val="0.189717710140356"/>
          <c:w val="0.540394577317315"/>
          <c:h val="0.77322188929191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图一  收入预算构成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082654905088335"/>
                  <c:y val="-0.24771329443392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一般公共预算收入, </a:t>
                    </a:r>
                    <a:r>
                      <a:rPr lang="en-US" altLang="zh-CN"/>
                      <a:t>136.14</a:t>
                    </a:r>
                    <a:r>
                      <a:t> 100%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2587898159374"/>
                      <c:h val="0.139725595331967"/>
                    </c:manualLayout>
                  </c15:layout>
                </c:ext>
              </c:extLst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一般公共预算收入</c:v>
                </c:pt>
                <c:pt idx="1">
                  <c:v>政府性基金预算收入</c:v>
                </c:pt>
                <c:pt idx="2">
                  <c:v>上年结转收入</c:v>
                </c:pt>
                <c:pt idx="3">
                  <c:v>其他收入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119.74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fe340ea-d562-4820-89ef-d9b87b619ae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pitchFamily="2" charset="-122"/>
                <a:ea typeface="微软雅黑" panose="020B0503020204020204" pitchFamily="2" charset="-122"/>
                <a:cs typeface="微软雅黑" panose="020B0503020204020204" pitchFamily="2" charset="-122"/>
                <a:sym typeface="微软雅黑" panose="020B0503020204020204" pitchFamily="2" charset="-122"/>
              </a:defRPr>
            </a:pPr>
            <a:r>
              <a:rPr sz="1200"/>
              <a:t>图</a:t>
            </a:r>
            <a:r>
              <a:rPr lang="en-US" altLang="zh-CN" sz="1200"/>
              <a:t>2  </a:t>
            </a:r>
            <a:r>
              <a:rPr altLang="en-US" sz="1200"/>
              <a:t>支出预算构成</a:t>
            </a:r>
            <a:endParaRPr lang="en-US" altLang="zh-CN" sz="1200"/>
          </a:p>
        </c:rich>
      </c:tx>
      <c:layout>
        <c:manualLayout>
          <c:xMode val="edge"/>
          <c:yMode val="edge"/>
          <c:x val="0.360352742208263"/>
          <c:y val="0.0048836073579684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图2  支出预算构成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3"/>
              <c:layout>
                <c:manualLayout>
                  <c:x val="0.105097849722155"/>
                  <c:y val="0.012718346317943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pitchFamily="2" charset="-122"/>
                    <a:ea typeface="微软雅黑" panose="020B0503020204020204" pitchFamily="2" charset="-122"/>
                    <a:cs typeface="微软雅黑" panose="020B0503020204020204" pitchFamily="2" charset="-122"/>
                    <a:sym typeface="微软雅黑" panose="020B0503020204020204" pitchFamily="2" charset="-122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一般公共服务支出</c:v>
                </c:pt>
                <c:pt idx="1">
                  <c:v>社会保障和就业支出</c:v>
                </c:pt>
                <c:pt idx="2">
                  <c:v>医疗卫生支出</c:v>
                </c:pt>
                <c:pt idx="3">
                  <c:v>住房保障支出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0.7918</c:v>
                </c:pt>
                <c:pt idx="1">
                  <c:v>0.1219</c:v>
                </c:pt>
                <c:pt idx="2">
                  <c:v>0.0348</c:v>
                </c:pt>
                <c:pt idx="3">
                  <c:v>0.0515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pitchFamily="2" charset="-122"/>
              <a:ea typeface="微软雅黑" panose="020B0503020204020204" pitchFamily="2" charset="-122"/>
              <a:cs typeface="微软雅黑" panose="020B0503020204020204" pitchFamily="2" charset="-122"/>
              <a:sym typeface="微软雅黑" panose="020B0503020204020204" pitchFamily="2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92a1b9b-d935-4c44-856a-2935d99b8c1f}"/>
      </c:ext>
    </c:extLst>
  </c:chart>
  <c:spPr>
    <a:solidFill>
      <a:schemeClr val="bg1"/>
    </a:solidFill>
    <a:ln w="6350" cap="flat" cmpd="sng" algn="ctr">
      <a:solidFill>
        <a:schemeClr val="tx1">
          <a:lumMod val="50000"/>
          <a:lumOff val="50000"/>
          <a:alpha val="25000"/>
        </a:schemeClr>
      </a:solidFill>
      <a:round/>
    </a:ln>
    <a:effectLst/>
  </c:spPr>
  <c:txPr>
    <a:bodyPr/>
    <a:lstStyle/>
    <a:p>
      <a:pPr>
        <a:defRPr lang="zh-CN">
          <a:latin typeface="微软雅黑" panose="020B0503020204020204" pitchFamily="2" charset="-122"/>
          <a:ea typeface="微软雅黑" panose="020B0503020204020204" pitchFamily="2" charset="-122"/>
          <a:cs typeface="微软雅黑" panose="020B0503020204020204" pitchFamily="2" charset="-122"/>
          <a:sym typeface="微软雅黑" panose="020B0503020204020204" pitchFamily="2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WPS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874CB"/>
    </a:accent1>
    <a:accent2>
      <a:srgbClr val="EE822F"/>
    </a:accent2>
    <a:accent3>
      <a:srgbClr val="F2BA02"/>
    </a:accent3>
    <a:accent4>
      <a:srgbClr val="75BD42"/>
    </a:accent4>
    <a:accent5>
      <a:srgbClr val="30C0B4"/>
    </a:accent5>
    <a:accent6>
      <a:srgbClr val="E54C5E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28</Pages>
  <Words>4696</Words>
  <Characters>5144</Characters>
  <Lines>68</Lines>
  <Paragraphs>19</Paragraphs>
  <TotalTime>9</TotalTime>
  <ScaleCrop>false</ScaleCrop>
  <LinksUpToDate>false</LinksUpToDate>
  <CharactersWithSpaces>5420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妮</cp:lastModifiedBy>
  <cp:lastPrinted>2022-02-15T07:45:00Z</cp:lastPrinted>
  <dcterms:modified xsi:type="dcterms:W3CDTF">2026-03-09T02:33:08Z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6F456DD5CD52434EB357EA3803AA59AA_13</vt:lpwstr>
  </property>
  <property fmtid="{D5CDD505-2E9C-101B-9397-08002B2CF9AE}" pid="4" name="KSOTemplateDocerSaveRecord">
    <vt:lpwstr>eyJoZGlkIjoiNmNmNTljZGIzOTM0NjYxZDI2MzljMWY3OGY0NTI4NTMiLCJ1c2VySWQiOiIyNTA3NzY3MzAifQ==</vt:lpwstr>
  </property>
</Properties>
</file>